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2443B3" w:rsidRDefault="007B78A4" w:rsidP="00CB4B65">
      <w:pPr>
        <w:pStyle w:val="MDPI11articletype"/>
      </w:pPr>
      <w:r>
        <w:fldChar w:fldCharType="begin"/>
      </w:r>
      <w:r>
        <w:instrText xml:space="preserve"> MACROBUTTON MTEditEquationSection2 </w:instrText>
      </w:r>
      <w:r w:rsidRPr="007B78A4">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EA6423" w:rsidRPr="002443B3">
        <w:t>Article</w:t>
      </w:r>
    </w:p>
    <w:p w:rsidR="008200CB" w:rsidRDefault="008200CB" w:rsidP="00CB4B65">
      <w:pPr>
        <w:pStyle w:val="MDPI13authornames"/>
        <w:rPr>
          <w:snapToGrid w:val="0"/>
          <w:sz w:val="36"/>
          <w:szCs w:val="20"/>
        </w:rPr>
      </w:pPr>
      <w:r w:rsidRPr="008200CB">
        <w:rPr>
          <w:snapToGrid w:val="0"/>
          <w:sz w:val="36"/>
          <w:szCs w:val="20"/>
        </w:rPr>
        <w:t>Explaining Public Goods Game Contributions with Rational Ability and Gender</w:t>
      </w:r>
    </w:p>
    <w:p w:rsidR="00364C55" w:rsidRPr="002443B3" w:rsidRDefault="001269DD" w:rsidP="006D321C">
      <w:pPr>
        <w:pStyle w:val="MDPI14history"/>
      </w:pPr>
      <w:r>
        <w:t>Received: 20</w:t>
      </w:r>
      <w:r w:rsidR="008200CB">
        <w:t xml:space="preserve"> Feb 2018</w:t>
      </w:r>
      <w:r w:rsidR="00364C55" w:rsidRPr="002443B3">
        <w:t>; Accepted: date; Published: date</w:t>
      </w:r>
    </w:p>
    <w:p w:rsidR="00EA6423" w:rsidRPr="002443B3" w:rsidRDefault="00EA6423" w:rsidP="00CB4B65">
      <w:pPr>
        <w:pStyle w:val="MDPI17abstract"/>
        <w:rPr>
          <w:color w:val="auto"/>
        </w:rPr>
      </w:pPr>
      <w:r w:rsidRPr="002443B3">
        <w:rPr>
          <w:b/>
        </w:rPr>
        <w:t xml:space="preserve">Abstract: </w:t>
      </w:r>
      <w:r w:rsidR="00EF74DC" w:rsidRPr="00EF74DC">
        <w:t>As the link between psychology and economics has grown, so too has research on the link between personality traits and economic behavior. We build on this previous work, bringing to light the relationship between personality traits, gender and contributions in a one-shot public goods game. Our first main finding is that contribution to the public good is less for rational participants as measured by the REI-40. This effect is statistically more significant for men than for women. This is explained by our second main finding that men’s contribution choices tend to lie at the extremes, whereas women tend to populate the middle of the contribution distribution.</w:t>
      </w:r>
    </w:p>
    <w:p w:rsidR="00EA6423" w:rsidRPr="002443B3" w:rsidRDefault="00EA6423" w:rsidP="00CB4B65">
      <w:pPr>
        <w:pStyle w:val="MDPI18keywords"/>
      </w:pPr>
      <w:r w:rsidRPr="002443B3">
        <w:rPr>
          <w:b/>
        </w:rPr>
        <w:t xml:space="preserve">Keywords: </w:t>
      </w:r>
      <w:r w:rsidR="00EF74DC">
        <w:t>public good</w:t>
      </w:r>
      <w:r w:rsidRPr="002443B3">
        <w:t xml:space="preserve">; </w:t>
      </w:r>
      <w:r w:rsidR="00EF74DC">
        <w:t>cooperation</w:t>
      </w:r>
      <w:r w:rsidRPr="002443B3">
        <w:t xml:space="preserve">; </w:t>
      </w:r>
      <w:r w:rsidR="00EF74DC">
        <w:t>gender; psychological traits</w:t>
      </w:r>
      <w:r w:rsidR="00C13BD1">
        <w:t>, REI-40</w:t>
      </w:r>
    </w:p>
    <w:p w:rsidR="00EA6423" w:rsidRPr="002443B3" w:rsidRDefault="00EA6423" w:rsidP="00CB4B65">
      <w:pPr>
        <w:pStyle w:val="MDPI19line"/>
      </w:pPr>
    </w:p>
    <w:p w:rsidR="00EA6423" w:rsidRPr="002443B3" w:rsidRDefault="00EA6423" w:rsidP="00CB4B65">
      <w:pPr>
        <w:pStyle w:val="MDPI21heading1"/>
      </w:pPr>
      <w:r w:rsidRPr="002443B3">
        <w:rPr>
          <w:lang w:eastAsia="zh-CN"/>
        </w:rPr>
        <w:t xml:space="preserve">1. </w:t>
      </w:r>
      <w:r w:rsidRPr="002443B3">
        <w:t>Introduction</w:t>
      </w:r>
    </w:p>
    <w:p w:rsidR="00720B87" w:rsidRDefault="00720B87" w:rsidP="00045565">
      <w:pPr>
        <w:pStyle w:val="MDPI31text"/>
      </w:pPr>
      <w:bookmarkStart w:id="0" w:name="OLE_LINK1"/>
      <w:bookmarkStart w:id="1" w:name="OLE_LINK2"/>
    </w:p>
    <w:p w:rsidR="00045565" w:rsidRPr="00350B7A" w:rsidRDefault="00045565" w:rsidP="00045565">
      <w:pPr>
        <w:pStyle w:val="MDPI31text"/>
      </w:pPr>
      <w:r w:rsidRPr="00350B7A">
        <w:t>The public goods game has important implications as it is applicable to many real world situations that include a common good benefiting a group, but is not profitable enough to be financed by an individual.</w:t>
      </w:r>
      <w:r w:rsidR="00A71C5A" w:rsidRPr="00350B7A">
        <w:t xml:space="preserve"> Even if a group comes together and is able to finance a project, there is an incentive to not contribute anything and free-ride. The incentive to free-ride in order to maximize one's own wealth leads to tax fraud, pollution, resource exploitation, and even plays an important role in the climate change issue. Nature, its resources, the air, and the planet are a public good and cooperation among humans would lead to a better world for </w:t>
      </w:r>
      <w:r w:rsidR="00F574CA" w:rsidRPr="00350B7A">
        <w:t>society. The incentive to</w:t>
      </w:r>
      <w:r w:rsidR="00A71C5A" w:rsidRPr="00350B7A">
        <w:t xml:space="preserve"> </w:t>
      </w:r>
      <w:r w:rsidR="00F574CA" w:rsidRPr="00350B7A">
        <w:t>free-ride, however,</w:t>
      </w:r>
      <w:r w:rsidR="00A71C5A" w:rsidRPr="00350B7A">
        <w:t xml:space="preserve"> can create huge cost to today's and future societies. Understanding the behavior in the public goods game is essential when trying to solve these big problems. </w:t>
      </w:r>
      <w:r w:rsidRPr="00350B7A">
        <w:t xml:space="preserve">Research on the public goods game therefore focuses on the factors that lead to, drive, and result in cooperation. </w:t>
      </w:r>
    </w:p>
    <w:p w:rsidR="00631347" w:rsidRPr="00350B7A" w:rsidRDefault="00A71C5A" w:rsidP="00631347">
      <w:pPr>
        <w:pStyle w:val="MDPI31text"/>
      </w:pPr>
      <w:r w:rsidRPr="00350B7A">
        <w:t xml:space="preserve">The public goods game can be played in a variety of forms, which allows researchers to investigate </w:t>
      </w:r>
      <w:r w:rsidR="00F574CA" w:rsidRPr="00350B7A">
        <w:t>the driving forces for cooperative</w:t>
      </w:r>
      <w:r w:rsidRPr="00350B7A">
        <w:t xml:space="preserve"> behavior in changing environments. For example, </w:t>
      </w:r>
      <w:r w:rsidR="00F574CA" w:rsidRPr="00350B7A">
        <w:t xml:space="preserve">Andreoni </w:t>
      </w:r>
      <w:r w:rsidR="00F574CA" w:rsidRPr="00350B7A">
        <w:fldChar w:fldCharType="begin"/>
      </w:r>
      <w:r w:rsidR="00F574CA" w:rsidRPr="00350B7A">
        <w:instrText xml:space="preserve"> ADDIN ZOTERO_ITEM CSL_CITATION {"citationID":"a3fquhg6oe","properties":{"formattedCitation":"[1]","plainCitation":"[1]"},"citationItems":[{"id":27,"uris":["http://zotero.org/users/4719949/items/DK427M4F"],"uri":["http://zotero.org/users/4719949/items/DK427M4F"],"itemData":{"id":27,"type":"article-journal","title":"Cooperation in public-goods experiments: kindness or confusion?","container-title":"The American Economic Review","page":"891–904","source":"Google Scholar","shortTitle":"Cooperation in public-goods experiments","author":[{"family":"Andreoni","given":"James"}],"issued":{"date-parts":[["1995"]]}}}],"schema":"https://github.com/citation-style-language/schema/raw/master/csl-citation.json"} </w:instrText>
      </w:r>
      <w:r w:rsidR="00F574CA" w:rsidRPr="00350B7A">
        <w:fldChar w:fldCharType="separate"/>
      </w:r>
      <w:r w:rsidR="00F574CA" w:rsidRPr="00350B7A">
        <w:t>[1]</w:t>
      </w:r>
      <w:r w:rsidR="00F574CA" w:rsidRPr="00350B7A">
        <w:fldChar w:fldCharType="end"/>
      </w:r>
      <w:r w:rsidRPr="00350B7A">
        <w:t xml:space="preserve"> and Iturbe-Ormaetxe et al.</w:t>
      </w:r>
      <w:r w:rsidR="00F574CA" w:rsidRPr="00350B7A">
        <w:t xml:space="preserve"> </w:t>
      </w:r>
      <w:r w:rsidR="00F574CA" w:rsidRPr="00350B7A">
        <w:fldChar w:fldCharType="begin"/>
      </w:r>
      <w:r w:rsidR="00F574CA" w:rsidRPr="00350B7A">
        <w:instrText xml:space="preserve"> ADDIN ZOTERO_ITEM CSL_CITATION {"citationID":"a2m2agvkh32","properties":{"formattedCitation":"[2]","plainCitation":"[2]"},"citationItems":[{"id":285,"uris":["http://zotero.org/users/4719949/items/MTN8WLSQ"],"uri":["http://zotero.org/users/4719949/items/MTN8WLSQ"],"itemData":{"id":285,"type":"article-journal","title":"Framing effects in public goods: Prospect Theory and experimental evidence","container-title":"Games and Economic Behavior","page":"439-447","volume":"72","issue":"2","source":"ScienceDirect","abstract":"This paper studies, both theoretically and experimentally, framing effects in the context of a public good game in which players have to make a costly contribution either (i) to achieve or (ii) not to lose a non-excludable monetary prize. Our protocol leads to public good provision (not deterioration) only if a certain contribution level is achieved. Since both frames differ with respect to the reference point, we apply Prospect Theory to derive testable predictions. In particular, Prospect Theory predicts—and our experimental evidence confirms—greater contribution in the “loss” (“gain”) frame when the contribution threshold is high (low). We also estimate the parameters which better suit our experimental evidence and partly confirm previous results in the literature.","DOI":"10.1016/j.geb.2010.10.004","ISSN":"0899-8256","shortTitle":"Framing effects in public goods","journalAbbreviation":"Games and Economic Behavior","author":[{"family":"Iturbe-Ormaetxe","given":"Iñigo"},{"family":"Ponti","given":"Giovanni"},{"family":"Tomás","given":"Josefa"},{"family":"Ubeda","given":"Luis"}],"issued":{"date-parts":[["2011",6,1]]}}}],"schema":"https://github.com/citation-style-language/schema/raw/master/csl-citation.json"} </w:instrText>
      </w:r>
      <w:r w:rsidR="00F574CA" w:rsidRPr="00350B7A">
        <w:fldChar w:fldCharType="separate"/>
      </w:r>
      <w:r w:rsidR="00F574CA" w:rsidRPr="00350B7A">
        <w:t>[2]</w:t>
      </w:r>
      <w:r w:rsidR="00F574CA" w:rsidRPr="00350B7A">
        <w:fldChar w:fldCharType="end"/>
      </w:r>
      <w:r w:rsidRPr="00350B7A">
        <w:t xml:space="preserve"> investigate the effect of positive and negative frameworks and find that cooperation is greater when the public goods game has a positive framework. </w:t>
      </w:r>
      <w:r w:rsidR="00B900B3" w:rsidRPr="00350B7A">
        <w:t>The rates of contribution to the public good can also be influenced b</w:t>
      </w:r>
      <w:r w:rsidRPr="00350B7A">
        <w:t>y including options like being excluded from the publ</w:t>
      </w:r>
      <w:r w:rsidR="00F574CA" w:rsidRPr="00350B7A">
        <w:t xml:space="preserve">ic good </w:t>
      </w:r>
      <w:r w:rsidR="00F574CA" w:rsidRPr="00350B7A">
        <w:fldChar w:fldCharType="begin"/>
      </w:r>
      <w:r w:rsidR="00F574CA" w:rsidRPr="00350B7A">
        <w:instrText xml:space="preserve"> ADDIN ZOTERO_ITEM CSL_CITATION {"citationID":"a2ebrdbagn","properties":{"formattedCitation":"[3]","plainCitation":"[3]"},"citationItems":[{"id":288,"uris":["http://zotero.org/users/4719949/items/9GCUDWKD"],"uri":["http://zotero.org/users/4719949/items/9GCUDWKD"],"itemData":{"id":288,"type":"article-journal","title":"Volunteering leads to rock–paper–scissors dynamics in a public goods game","container-title":"Nature","page":"390-393","volume":"425","issue":"6956","source":"www.nature.com","abstract":"Collective efforts are a trademark of both insect and human societies1. They are achieved through relatedness in the former2 and unknown mechanisms in the latter. The problem of achieving cooperation among non-kin has been described as the ‘tragedy of the commons’, prophesying the inescapable collapse of many human enterprises3,4. In public goods experiments, initial cooperation usually drops quickly to almost zero5. It can be maintained by the opportunity to punish defectors6 or the need to maintain good reputation7. Both schemes require that defectors are identified. Theorists propose that a simple but effective mechanism operates under full anonymity. With optional participation in the public goods game, ‘loners’ (players who do not join the group), defectors and cooperators will coexist through rock–paper–scissors dynamics8,9. Here we show experimentally that volunteering generates these dynamics in public goods games and that manipulating initial conditions can produce each predicted direction. If, by manipulating displayed decisions, it is pretended that defectors have the highest frequency, loners soon become most frequent, as do cooperators after loners and defectors after cooperators. On average, cooperation is perpetuated at a substantial level.","DOI":"10.1038/nature01986","ISSN":"1476-4687","language":"en","author":[{"family":"Semmann","given":"Dirk"},{"family":"Krambeck","given":"Hans-Jürgen"},{"family":"Milinski","given":"Manfred"}],"issued":{"date-parts":[["2003",9]]}}}],"schema":"https://github.com/citation-style-language/schema/raw/master/csl-citation.json"} </w:instrText>
      </w:r>
      <w:r w:rsidR="00F574CA" w:rsidRPr="00350B7A">
        <w:fldChar w:fldCharType="separate"/>
      </w:r>
      <w:r w:rsidR="00F574CA" w:rsidRPr="00350B7A">
        <w:t>[3]</w:t>
      </w:r>
      <w:r w:rsidR="00F574CA" w:rsidRPr="00350B7A">
        <w:fldChar w:fldCharType="end"/>
      </w:r>
      <w:r w:rsidR="00B900B3" w:rsidRPr="00350B7A">
        <w:t xml:space="preserve"> or</w:t>
      </w:r>
      <w:r w:rsidRPr="00350B7A">
        <w:t xml:space="preserve"> </w:t>
      </w:r>
      <w:r w:rsidR="00B900B3" w:rsidRPr="00350B7A">
        <w:t xml:space="preserve">punishment and </w:t>
      </w:r>
      <w:r w:rsidRPr="00350B7A">
        <w:t>voting mechanisms</w:t>
      </w:r>
      <w:r w:rsidR="00F574CA" w:rsidRPr="00350B7A">
        <w:t xml:space="preserve"> </w:t>
      </w:r>
      <w:r w:rsidR="00F574CA" w:rsidRPr="00350B7A">
        <w:fldChar w:fldCharType="begin"/>
      </w:r>
      <w:r w:rsidR="00F574CA" w:rsidRPr="00350B7A">
        <w:instrText xml:space="preserve"> ADDIN ZOTERO_ITEM CSL_CITATION {"citationID":"NEF4zSal","properties":{"formattedCitation":"{\\rtf [4\\uc0\\u8211{}6]}","plainCitation":"[4–6]"},"citationItems":[{"id":291,"uris":["http://zotero.org/users/4719949/items/H2VQP5HM"],"uri":["http://zotero.org/users/4719949/items/H2VQP5HM"],"itemData":{"id":291,"type":"article-journal","title":"Cooperation under the threat of expulsion in a public goods experiment","container-title":"Journal of Public Economics","collection-title":"The Experimental Approaches to Public Economics","page":"1421-1435","volume":"89","issue":"8","source":"ScienceDirect","abstract":"In a public goods experiment with the opportunity to vote to expel members of a group, we found that contributions rose to nearly 100% of endowments with significantly higher efficiency compared with a no-expulsion baseline. Our findings support the intuition that the threat of expulsion or ostracism is a device that helps some groups to provide public goods.","DOI":"10.1016/j.jpubeco.2004.05.011","ISSN":"0047-2727","journalAbbreviation":"Journal of Public Economics","author":[{"family":"Cinyabuguma","given":"Matthias"},{"family":"Page","given":"Talbot"},{"family":"Putterman","given":"Louis"}],"issued":{"date-parts":[["2005",8,1]]}}},{"id":278,"uris":["http://zotero.org/users/4719949/items/NMNM4JDA"],"uri":["http://zotero.org/users/4719949/items/NMNM4JDA"],"itemData":{"id":278,"type":"article-journal","title":"Cooperation and Punishment in Public Goods Experiments","container-title":"The American Economic Review","page":"980-994","volume":"90","issue":"4","source":"JSTOR","ISSN":"0002-8282","author":[{"family":"Fehr","given":"Ernst"},{"family":"Gächter","given":"Simon"}],"issued":{"date-parts":[["2000"]]}}},{"id":293,"uris":["http://zotero.org/users/4719949/items/VSZJGDYV"],"uri":["http://zotero.org/users/4719949/items/VSZJGDYV"],"itemData":{"id":293,"type":"webpage","title":"Walk the Talk? The Effect of Voting and Excludability in Public Goods Experiments","container-title":"Economics Research International","genre":"Research article","abstract":"The purpose of this paper is to investigate the effect of voting and excludability on individual contributions to group projects. We conducted two experiments on excludable and nonexcludable public goods, which provided several important results. First, contrary to our expectations, subjects are generally contributing more to the non-excludable compared to the excludable public good. Second, participating in a vote to choose a public project per se makes no difference in contributions. However, if the project that the individual voted for also gets selected by the group, they contribute significantly more to that project. Third, empathy and locus of control are important driving forces of participation in common projects. Our results have implications on the procedural design of obtaining funding for public projects. First, the public should get involved and have a say in the determination of which project should be realized. Second, it might well pay off to attempt to develop a consensus among the population and obtain near unanimous votes, because in our experiment, subjects discriminate between the project they voted for and the project chosen by the majority. Third, the policy proposers should stress the other-regarding interest of the public good rather than just pecuniary incentives.","URL":"https://www.hindawi.com/journals/ecri/2010/768546/abs/","note":"DOI: 10.1155/2010/768546","shortTitle":"Walk the Talk?","language":"en","author":[{"family":"Czap","given":"Hans J."},{"family":"Czap","given":"Natalia V."},{"family":"Bonakdarian","given":"Esmail"}],"issued":{"date-parts":[["2010"]]},"accessed":{"date-parts":[["2018",3,8]]}}}],"schema":"https://github.com/citation-style-language/schema/raw/master/csl-citation.json"} </w:instrText>
      </w:r>
      <w:r w:rsidR="00F574CA" w:rsidRPr="00350B7A">
        <w:fldChar w:fldCharType="separate"/>
      </w:r>
      <w:r w:rsidR="00F574CA" w:rsidRPr="00350B7A">
        <w:rPr>
          <w:szCs w:val="24"/>
        </w:rPr>
        <w:t>[4–6]</w:t>
      </w:r>
      <w:r w:rsidR="00F574CA" w:rsidRPr="00350B7A">
        <w:fldChar w:fldCharType="end"/>
      </w:r>
      <w:r w:rsidR="00F574CA" w:rsidRPr="00350B7A">
        <w:t xml:space="preserve">. </w:t>
      </w:r>
      <w:r w:rsidR="00CA4094" w:rsidRPr="00350B7A">
        <w:t xml:space="preserve">These studies </w:t>
      </w:r>
      <w:r w:rsidR="00631347" w:rsidRPr="00350B7A">
        <w:t xml:space="preserve">claim that </w:t>
      </w:r>
      <w:r w:rsidR="00CA4094" w:rsidRPr="00350B7A">
        <w:t>external factors (i.e., the environment and the rules of the game)</w:t>
      </w:r>
      <w:r w:rsidR="00631347" w:rsidRPr="00350B7A">
        <w:t xml:space="preserve"> have an effect</w:t>
      </w:r>
      <w:r w:rsidR="00CA4094" w:rsidRPr="00350B7A">
        <w:t xml:space="preserve"> on the behavior of the entire group.</w:t>
      </w:r>
      <w:r w:rsidR="00631347" w:rsidRPr="00350B7A">
        <w:t xml:space="preserve"> Fosgaard et al. </w:t>
      </w:r>
      <w:r w:rsidR="00631347" w:rsidRPr="00350B7A">
        <w:fldChar w:fldCharType="begin"/>
      </w:r>
      <w:r w:rsidR="00631347" w:rsidRPr="00350B7A">
        <w:instrText xml:space="preserve"> ADDIN ZOTERO_ITEM CSL_CITATION {"citationID":"a2hjkhmalgv","properties":{"formattedCitation":"[7]","plainCitation":"[7]"},"citationItems":[{"id":297,"uris":["http://zotero.org/users/4719949/items/RF7BTEXE"],"uri":["http://zotero.org/users/4719949/items/RF7BTEXE"],"itemData":{"id":297,"type":"article-journal","title":"Framing and Misperception in Public Good Experiments","container-title":"The Scandinavian Journal of Economics","page":"435-456","volume":"119","issue":"2","abstract":"Earlier studies have found that framing has a substantial impact on the degree of cooperation observed in public good experiments. We show that the way the public good game is framed affects misperceptions about the incentives of the game. Moreover, we show that such framing-induced differences in misperceptions are linked to the framing effect on subjects' cooperation behavior. When we do not control for the different levels of misperceptions between frames, we observe a significant framing effect on subjects' cooperation preferences. However, this framing effect becomes insignificant once we remove subjects who misperceive.","DOI":"10.1111/sjoe.12165","author":[{"family":"Fosgaard","given":"Toke Reinholt"},{"family":"Hansen","given":"Lars Garn"},{"family":"Wengström","given":"Erik"}],"issued":{"date-parts":[["2017"]]}}}],"schema":"https://github.com/citation-style-language/schema/raw/master/csl-citation.json"} </w:instrText>
      </w:r>
      <w:r w:rsidR="00631347" w:rsidRPr="00350B7A">
        <w:fldChar w:fldCharType="separate"/>
      </w:r>
      <w:r w:rsidR="00631347" w:rsidRPr="00350B7A">
        <w:t>[7]</w:t>
      </w:r>
      <w:r w:rsidR="00631347" w:rsidRPr="00350B7A">
        <w:fldChar w:fldCharType="end"/>
      </w:r>
      <w:r w:rsidR="00631347" w:rsidRPr="00350B7A">
        <w:t xml:space="preserve"> find that the way a public good is framed actually affects misperceptions about the incentives of the game and once the misperceptions are removed, the framing difference vanishes. They suggest that internal factors such as beliefs might have a great part in this. </w:t>
      </w:r>
    </w:p>
    <w:p w:rsidR="00357A78" w:rsidRPr="00350B7A" w:rsidRDefault="00631347" w:rsidP="00357A78">
      <w:pPr>
        <w:pStyle w:val="MDPI31text"/>
      </w:pPr>
      <w:r w:rsidRPr="00350B7A">
        <w:t>This leads to a</w:t>
      </w:r>
      <w:r w:rsidR="00CA4094" w:rsidRPr="00350B7A">
        <w:t xml:space="preserve"> string of</w:t>
      </w:r>
      <w:r w:rsidR="00045565" w:rsidRPr="00350B7A">
        <w:t xml:space="preserve"> </w:t>
      </w:r>
      <w:r w:rsidR="00CA4094" w:rsidRPr="00350B7A">
        <w:t xml:space="preserve">literature </w:t>
      </w:r>
      <w:r w:rsidRPr="00350B7A">
        <w:t xml:space="preserve">that </w:t>
      </w:r>
      <w:r w:rsidR="00CA4094" w:rsidRPr="00350B7A">
        <w:t>looks at the</w:t>
      </w:r>
      <w:r w:rsidR="00045565" w:rsidRPr="00350B7A">
        <w:t xml:space="preserve"> behavior of individuals</w:t>
      </w:r>
      <w:r w:rsidR="00CA4094" w:rsidRPr="00350B7A">
        <w:t xml:space="preserve"> in the public goods game. Specifically, the personality or psychological traits have been in the focus of these studies. The results, however, have not been consistent. For example,</w:t>
      </w:r>
      <w:r w:rsidR="00357A78" w:rsidRPr="00350B7A">
        <w:t xml:space="preserve"> Perugini et al.</w:t>
      </w:r>
      <w:r w:rsidR="00045565" w:rsidRPr="00350B7A">
        <w:t xml:space="preserve"> </w:t>
      </w:r>
      <w:r w:rsidR="00357A78" w:rsidRPr="00350B7A">
        <w:fldChar w:fldCharType="begin"/>
      </w:r>
      <w:r w:rsidRPr="00350B7A">
        <w:instrText xml:space="preserve"> ADDIN ZOTERO_ITEM CSL_CITATION {"citationID":"a16244latjo","properties":{"formattedCitation":"[8]","plainCitation":"[8]"},"citationItems":[{"id":5,"uris":["http://zotero.org/users/4719949/items/XP8LB8VT"],"uri":["http://zotero.org/users/4719949/items/XP8LB8VT"],"itemData":{"id":5,"type":"article-journal","title":"Which is the more predictable gender? Public good contribution and personality","container-title":"Economic Issues","page":"83-110","volume":"15","issue":"1","source":"Google Scholar","shortTitle":"Which is the more predictable gender?","author":[{"family":"Perugini","given":"Marco"},{"family":"Tan","given":"Jonathan HW"},{"family":"Zizzo","given":"Daniel John"}],"issued":{"date-parts":[["2010"]]}}}],"schema":"https://github.com/citation-style-language/schema/raw/master/csl-citation.json"} </w:instrText>
      </w:r>
      <w:r w:rsidR="00357A78" w:rsidRPr="00350B7A">
        <w:fldChar w:fldCharType="separate"/>
      </w:r>
      <w:r w:rsidRPr="00350B7A">
        <w:t>[8]</w:t>
      </w:r>
      <w:r w:rsidR="00357A78" w:rsidRPr="00350B7A">
        <w:fldChar w:fldCharType="end"/>
      </w:r>
      <w:r w:rsidR="00045565" w:rsidRPr="00350B7A">
        <w:t xml:space="preserve"> find that ‘agreeableness’ of the Big Six measurement is a good predictor for cooperative behavior of men in a multi-period public good game, while</w:t>
      </w:r>
      <w:r w:rsidR="00357A78" w:rsidRPr="00350B7A">
        <w:t xml:space="preserve"> Kurzban and Houser</w:t>
      </w:r>
      <w:r w:rsidR="00045565" w:rsidRPr="00350B7A">
        <w:t xml:space="preserve"> </w:t>
      </w:r>
      <w:r w:rsidR="00357A78" w:rsidRPr="00350B7A">
        <w:fldChar w:fldCharType="begin"/>
      </w:r>
      <w:r w:rsidRPr="00350B7A">
        <w:instrText xml:space="preserve"> ADDIN ZOTERO_ITEM CSL_CITATION {"citationID":"abq5pc3c0d","properties":{"formattedCitation":"[9]","plainCitation":"[9]"},"citationItems":[{"id":8,"uris":["http://zotero.org/users/4719949/items/BVYY2Y5F"],"uri":["http://zotero.org/users/4719949/items/BVYY2Y5F"],"itemData":{"id":8,"type":"article-journal","title":"Individual differences in cooperation in a circular public goods game","container-title":"European Journal of Personality","volume":"15","issue":"S1","source":"Google Scholar","DOI":"https://doi.org/10.1002/per.420","author":[{"family":"Kurzban","given":"Robert"},{"family":"Houser","given":"Daniel"}],"issued":{"date-parts":[["2001"]]}}}],"schema":"https://github.com/citation-style-language/schema/raw/master/csl-citation.json"} </w:instrText>
      </w:r>
      <w:r w:rsidR="00357A78" w:rsidRPr="00350B7A">
        <w:fldChar w:fldCharType="separate"/>
      </w:r>
      <w:r w:rsidRPr="00350B7A">
        <w:t>[9]</w:t>
      </w:r>
      <w:r w:rsidR="00357A78" w:rsidRPr="00350B7A">
        <w:fldChar w:fldCharType="end"/>
      </w:r>
      <w:r w:rsidR="00045565" w:rsidRPr="00350B7A">
        <w:t xml:space="preserve"> find neuroticism to be statistically significant. </w:t>
      </w:r>
      <w:r w:rsidR="00357A78" w:rsidRPr="00350B7A">
        <w:t xml:space="preserve">For cooperation in other economic games the Big Five personality traits, consisting of Extraversion, Agreeableness, Conscientiousness, Neuroticism, and Openness </w:t>
      </w:r>
      <w:r w:rsidR="00357A78" w:rsidRPr="00350B7A">
        <w:fldChar w:fldCharType="begin"/>
      </w:r>
      <w:r w:rsidRPr="00350B7A">
        <w:instrText xml:space="preserve"> ADDIN ZOTERO_ITEM CSL_CITATION {"citationID":"a2prh70rnb7","properties":{"formattedCitation":"{\\rtf [10\\uc0\\u8211{}12]}","plainCitation":"[10–12]"},"citationItems":[{"id":10,"uris":["http://zotero.org/users/4719949/items/R2DHMUPS"],"uri":["http://zotero.org/users/4719949/items/R2DHMUPS"],"itemData":{"id":10,"type":"book","title":"The big five inventory—versions 4a and 54","publisher":"Berkeley, CA: University of California, Berkeley, Institute of Personality and Social Research","source":"Google Scholar","author":[{"family":"John","given":"Oliver P."},{"family":"Donahue","given":"Eileen M."},{"family":"Kentle","given":"Robert L."}],"issued":{"date-parts":[["1991"]]}}},{"id":9,"uris":["http://zotero.org/users/4719949/items/D5SFUCS5"],"uri":["http://zotero.org/users/4719949/items/D5SFUCS5"],"itemData":{"id":9,"type":"chapter","title":"Paradigm shift to the integrative big five trait taxonomy","container-title":"Handbook of personality: Theory and research","publisher":"The Guilford Press","publisher-place":"New York, London","page":"114–158","edition":"3rd","source":"Google Scholar","event-place":"New York, London","ISBN":"978-1-59385-836-0","author":[{"family":"John","given":"Oliver P."},{"family":"Naumann","given":"Laura P."},{"family":"Soto","given":"Christopher J."}],"container-author":[{"family":"John","given":"Oliver P."},{"family":"Robins","given":"Richard W."},{"family":"Pervin","given":"Lawrence A."}],"issued":{"date-parts":[["2008"]]}}},{"id":18,"uris":["http://zotero.org/users/4719949/items/UDTGVYYB"],"uri":["http://zotero.org/users/4719949/items/UDTGVYYB"],"itemData":{"id":18,"type":"article-journal","title":"Los Cinco Grandes across cultures and ethnic groups: Multitrait-multimethod analyses of the Big Five in Spanish and English.","container-title":"Journal of personality and social psychology","page":"729","volume":"75","issue":"3","source":"Google Scholar","DOI":"10.1037/0022-3514.75.3.729","shortTitle":"Los Cinco Grandes across cultures and ethnic groups","author":[{"family":"Benet-Martinez","given":"Veronica"},{"family":"John","given":"Oliver P."}],"issued":{"date-parts":[["1998"]]}}}],"schema":"https://github.com/citation-style-language/schema/raw/master/csl-citation.json"} </w:instrText>
      </w:r>
      <w:r w:rsidR="00357A78" w:rsidRPr="00350B7A">
        <w:fldChar w:fldCharType="separate"/>
      </w:r>
      <w:r w:rsidRPr="00350B7A">
        <w:rPr>
          <w:szCs w:val="24"/>
        </w:rPr>
        <w:t>[10–12]</w:t>
      </w:r>
      <w:r w:rsidR="00357A78" w:rsidRPr="00350B7A">
        <w:fldChar w:fldCharType="end"/>
      </w:r>
      <w:r w:rsidR="00357A78" w:rsidRPr="00350B7A">
        <w:t xml:space="preserve"> have been used as predictors.</w:t>
      </w:r>
      <w:r w:rsidR="00CA4094" w:rsidRPr="00350B7A">
        <w:t xml:space="preserve"> </w:t>
      </w:r>
      <w:r w:rsidR="00357A78" w:rsidRPr="00350B7A">
        <w:t xml:space="preserve">Lu and Argyle </w:t>
      </w:r>
      <w:r w:rsidR="00357A78" w:rsidRPr="00350B7A">
        <w:fldChar w:fldCharType="begin"/>
      </w:r>
      <w:r w:rsidRPr="00350B7A">
        <w:instrText xml:space="preserve"> ADDIN ZOTERO_ITEM CSL_CITATION {"citationID":"al8k840r2a","properties":{"formattedCitation":"[13]","plainCitation":"[13]"},"citationItems":[{"id":7,"uris":["http://zotero.org/users/4719949/items/45RP2MWW"],"uri":["http://zotero.org/users/4719949/items/45RP2MWW"],"itemData":{"id":7,"type":"article-journal","title":"Happiness and cooperation","container-title":"Personality and Individual Differences","page":"1019–1030","volume":"12","issue":"10","source":"Google Scholar","DOI":"https://doi.org/10.1016/0191-8869(91)90032-7","author":[{"family":"Lu","given":"Luo"},{"family":"Argyle","given":"Michael"}],"issued":{"date-parts":[["1991"]]}}}],"schema":"https://github.com/citation-style-language/schema/raw/master/csl-citation.json"} </w:instrText>
      </w:r>
      <w:r w:rsidR="00357A78" w:rsidRPr="00350B7A">
        <w:fldChar w:fldCharType="separate"/>
      </w:r>
      <w:r w:rsidRPr="00350B7A">
        <w:t>[13]</w:t>
      </w:r>
      <w:r w:rsidR="00357A78" w:rsidRPr="00350B7A">
        <w:fldChar w:fldCharType="end"/>
      </w:r>
      <w:r w:rsidR="00357A78" w:rsidRPr="00350B7A">
        <w:t xml:space="preserve"> and Ashton et al. </w:t>
      </w:r>
      <w:r w:rsidR="00357A78" w:rsidRPr="00350B7A">
        <w:fldChar w:fldCharType="begin"/>
      </w:r>
      <w:r w:rsidRPr="00350B7A">
        <w:instrText xml:space="preserve"> ADDIN ZOTERO_ITEM CSL_CITATION {"citationID":"a2md688t2ki","properties":{"formattedCitation":"[14]","plainCitation":"[14]"},"citationItems":[{"id":21,"uris":["http://zotero.org/users/4719949/items/S78RC82M"],"uri":["http://zotero.org/users/4719949/items/S78RC82M"],"itemData":{"id":21,"type":"article-journal","title":"Kin altruism, reciprocal altruism, and the Big Five personality factors","container-title":"Evolution and Human Behavior","page":"243–255","volume":"19","issue":"4","source":"Google Scholar","DOI":"10.1016/S1090-5138(98)00009-9","author":[{"family":"Ashton","given":"Michael C."},{"family":"Paunonen","given":"Sampo V."},{"family":"Helmes","given":"Edward"},{"family":"Jackson","given":"Douglas N."}],"issued":{"date-parts":[["1998"]]}}}],"schema":"https://github.com/citation-style-language/schema/raw/master/csl-citation.json"} </w:instrText>
      </w:r>
      <w:r w:rsidR="00357A78" w:rsidRPr="00350B7A">
        <w:fldChar w:fldCharType="separate"/>
      </w:r>
      <w:r w:rsidRPr="00350B7A">
        <w:t>[14]</w:t>
      </w:r>
      <w:r w:rsidR="00357A78" w:rsidRPr="00350B7A">
        <w:fldChar w:fldCharType="end"/>
      </w:r>
      <w:r w:rsidR="00357A78" w:rsidRPr="00350B7A">
        <w:t xml:space="preserve"> find that extraversion is positively correlated with their cooperation-scale, whereas neuroticism has a negative correlation. Lu and Argyle </w:t>
      </w:r>
      <w:r w:rsidR="00357A78" w:rsidRPr="00350B7A">
        <w:fldChar w:fldCharType="begin"/>
      </w:r>
      <w:r w:rsidRPr="00350B7A">
        <w:instrText xml:space="preserve"> ADDIN ZOTERO_ITEM CSL_CITATION {"citationID":"a1lbpqo2qh1","properties":{"formattedCitation":"[13]","plainCitation":"[13]"},"citationItems":[{"id":7,"uris":["http://zotero.org/users/4719949/items/45RP2MWW"],"uri":["http://zotero.org/users/4719949/items/45RP2MWW"],"itemData":{"id":7,"type":"article-journal","title":"Happiness and cooperation","container-title":"Personality and Individual Differences","page":"1019–1030","volume":"12","issue":"10","source":"Google Scholar","DOI":"https://doi.org/10.1016/0191-8869(91)90032-7","author":[{"family":"Lu","given":"Luo"},{"family":"Argyle","given":"Michael"}],"issued":{"date-parts":[["1991"]]}}}],"schema":"https://github.com/citation-style-language/schema/raw/master/csl-citation.json"} </w:instrText>
      </w:r>
      <w:r w:rsidR="00357A78" w:rsidRPr="00350B7A">
        <w:fldChar w:fldCharType="separate"/>
      </w:r>
      <w:r w:rsidRPr="00350B7A">
        <w:t>[13]</w:t>
      </w:r>
      <w:r w:rsidR="00357A78" w:rsidRPr="00350B7A">
        <w:fldChar w:fldCharType="end"/>
      </w:r>
      <w:r w:rsidR="00357A78" w:rsidRPr="00350B7A">
        <w:t xml:space="preserve"> also find </w:t>
      </w:r>
      <w:r w:rsidR="00357A78" w:rsidRPr="00350B7A">
        <w:lastRenderedPageBreak/>
        <w:t xml:space="preserve">agreeableness to be positively correlated with their cooperation-scale. Hirsh and Peterson </w:t>
      </w:r>
      <w:r w:rsidR="00357A78" w:rsidRPr="00350B7A">
        <w:fldChar w:fldCharType="begin"/>
      </w:r>
      <w:r w:rsidRPr="00350B7A">
        <w:instrText xml:space="preserve"> ADDIN ZOTERO_ITEM CSL_CITATION {"citationID":"a2uc6aat35","properties":{"formattedCitation":"[15]","plainCitation":"[15]"},"citationItems":[{"id":12,"uris":["http://zotero.org/users/4719949/items/7TL2LRPV"],"uri":["http://zotero.org/users/4719949/items/7TL2LRPV"],"itemData":{"id":12,"type":"article-journal","title":"Extraversion, neuroticism, and the prisoner’s dilemma","container-title":"Personality and Individual Differences","page":"254–256","volume":"46","issue":"2","source":"Google Scholar","DOI":"10.1016/j.paid.2008.10.006","author":[{"family":"Hirsh","given":"Jacob B."},{"family":"Peterson","given":"Jordan B."}],"issued":{"date-parts":[["2009"]]}}}],"schema":"https://github.com/citation-style-language/schema/raw/master/csl-citation.json"} </w:instrText>
      </w:r>
      <w:r w:rsidR="00357A78" w:rsidRPr="00350B7A">
        <w:fldChar w:fldCharType="separate"/>
      </w:r>
      <w:r w:rsidRPr="00350B7A">
        <w:t>[15]</w:t>
      </w:r>
      <w:r w:rsidR="00357A78" w:rsidRPr="00350B7A">
        <w:fldChar w:fldCharType="end"/>
      </w:r>
      <w:r w:rsidR="00357A78" w:rsidRPr="00350B7A">
        <w:t xml:space="preserve"> report that more neurotic individuals were less likely to defect in a prisoner's dilemma game. Ben-Ner et al. </w:t>
      </w:r>
      <w:r w:rsidR="00357A78" w:rsidRPr="00350B7A">
        <w:fldChar w:fldCharType="begin"/>
      </w:r>
      <w:r w:rsidRPr="00350B7A">
        <w:instrText xml:space="preserve"> ADDIN ZOTERO_ITEM CSL_CITATION {"citationID":"a2amqcivi7s","properties":{"formattedCitation":"[16]","plainCitation":"[16]"},"citationItems":[{"id":17,"uris":["http://zotero.org/users/4719949/items/TW2P33X8"],"uri":["http://zotero.org/users/4719949/items/TW2P33X8"],"itemData":{"id":17,"type":"article-journal","title":"Share and share alike? Gender-pairing, personality, and cognitive ability as determinants of giving","container-title":"Journal of Economic Psychology","page":"581–589","volume":"25","issue":"5","source":"Google Scholar","DOI":"10.1016/S0167-4870(03)00065-5","shortTitle":"Share and share alike?","author":[{"family":"Ben-Ner","given":"Avner"},{"family":"Kong","given":"Fanmin"},{"family":"Putterman","given":"Louis"}],"issued":{"date-parts":[["2004"]]}}}],"schema":"https://github.com/citation-style-language/schema/raw/master/csl-citation.json"} </w:instrText>
      </w:r>
      <w:r w:rsidR="00357A78" w:rsidRPr="00350B7A">
        <w:fldChar w:fldCharType="separate"/>
      </w:r>
      <w:r w:rsidRPr="00350B7A">
        <w:t>[16]</w:t>
      </w:r>
      <w:r w:rsidR="00357A78" w:rsidRPr="00350B7A">
        <w:fldChar w:fldCharType="end"/>
      </w:r>
      <w:r w:rsidR="00357A78" w:rsidRPr="00350B7A">
        <w:t xml:space="preserve"> find negative significant effects for neuroticism for giving of females in the dictator game, but in a later paper find correlation between high levels of neuroticism and greater altruism </w:t>
      </w:r>
      <w:r w:rsidR="00357A78" w:rsidRPr="00350B7A">
        <w:fldChar w:fldCharType="begin"/>
      </w:r>
      <w:r w:rsidRPr="00350B7A">
        <w:instrText xml:space="preserve"> ADDIN ZOTERO_ITEM CSL_CITATION {"citationID":"a526ov8htn","properties":{"formattedCitation":"[17]","plainCitation":"[17]"},"citationItems":[{"id":16,"uris":["http://zotero.org/users/4719949/items/KT35M6Y9"],"uri":["http://zotero.org/users/4719949/items/KT35M6Y9"],"itemData":{"id":16,"type":"article-journal","title":"Personality and altruism in the dictator game: Relationship to giving to kin, collaborators, competitors, and neutrals","container-title":"Personality and Individual Differences","page":"216–221","volume":"51","issue":"3","source":"Google Scholar","DOI":"10.1016/j.paid.2010.04.024","shortTitle":"Personality and altruism in the dictator game","author":[{"family":"Ben-Ner","given":"Avner"},{"family":"Kramer","given":"Amit"}],"issued":{"date-parts":[["2011"]]}}}],"schema":"https://github.com/citation-style-language/schema/raw/master/csl-citation.json"} </w:instrText>
      </w:r>
      <w:r w:rsidR="00357A78" w:rsidRPr="00350B7A">
        <w:fldChar w:fldCharType="separate"/>
      </w:r>
      <w:r w:rsidRPr="00350B7A">
        <w:t>[17]</w:t>
      </w:r>
      <w:r w:rsidR="00357A78" w:rsidRPr="00350B7A">
        <w:fldChar w:fldCharType="end"/>
      </w:r>
      <w:r w:rsidR="00357A78" w:rsidRPr="00350B7A">
        <w:t>.</w:t>
      </w:r>
    </w:p>
    <w:p w:rsidR="007A7781" w:rsidRPr="00350B7A" w:rsidRDefault="00357A78" w:rsidP="00357A78">
      <w:pPr>
        <w:pStyle w:val="MDPI31text"/>
      </w:pPr>
      <w:r w:rsidRPr="00350B7A">
        <w:t xml:space="preserve">Clearly, there is not a consensus on which personality traits predict cooperative behavior in economic games. </w:t>
      </w:r>
      <w:r w:rsidR="007A7781" w:rsidRPr="00350B7A">
        <w:t>Hence, it can be useful to make predictions about the behavior of personality profiles by adapting</w:t>
      </w:r>
      <w:r w:rsidR="00C13BD1" w:rsidRPr="00350B7A">
        <w:t xml:space="preserve"> rational choice theory</w:t>
      </w:r>
      <w:r w:rsidR="007A7781" w:rsidRPr="00350B7A">
        <w:t xml:space="preserve"> to the environment of a public good</w:t>
      </w:r>
      <w:r w:rsidR="003D3963" w:rsidRPr="00350B7A">
        <w:t xml:space="preserve"> </w:t>
      </w:r>
      <w:r w:rsidR="003D3963" w:rsidRPr="00350B7A">
        <w:fldChar w:fldCharType="begin"/>
      </w:r>
      <w:r w:rsidR="00631347" w:rsidRPr="00350B7A">
        <w:instrText xml:space="preserve"> ADDIN ZOTERO_ITEM CSL_CITATION {"citationID":"a1ls7vjfotk","properties":{"formattedCitation":"[18]","plainCitation":"[18]"},"citationItems":[{"id":296,"uris":["http://zotero.org/users/4719949/items/HKKX8H84"],"uri":["http://zotero.org/users/4719949/items/HKKX8H84"],"itemData":{"id":296,"type":"article-journal","title":"Impure Altruism and Donations to Public Goods: A Theory of Warm-Glow Giving","container-title":"The Economic Journal","page":"464-477","volume":"100","issue":"401","source":"JSTOR","DOI":"10.2307/2234133","ISSN":"0013-0133","shortTitle":"Impure Altruism and Donations to Public Goods","author":[{"family":"Andreoni","given":"James"}],"issued":{"date-parts":[["1990"]]}}}],"schema":"https://github.com/citation-style-language/schema/raw/master/csl-citation.json"} </w:instrText>
      </w:r>
      <w:r w:rsidR="003D3963" w:rsidRPr="00350B7A">
        <w:fldChar w:fldCharType="separate"/>
      </w:r>
      <w:r w:rsidR="00631347" w:rsidRPr="00350B7A">
        <w:t>[18]</w:t>
      </w:r>
      <w:r w:rsidR="003D3963" w:rsidRPr="00350B7A">
        <w:fldChar w:fldCharType="end"/>
      </w:r>
      <w:r w:rsidR="007A7781" w:rsidRPr="00350B7A">
        <w:t>. Assuming that all participants are utility maximizers, the individual utility function consists of two parts:</w:t>
      </w:r>
    </w:p>
    <w:p w:rsidR="007A7781" w:rsidRPr="00350B7A" w:rsidRDefault="007A7781" w:rsidP="007A7781">
      <w:pPr>
        <w:pStyle w:val="MTDisplayEquation"/>
      </w:pPr>
      <w:r w:rsidRPr="00350B7A">
        <w:tab/>
      </w:r>
      <w:r w:rsidRPr="00350B7A">
        <w:rPr>
          <w:position w:val="-28"/>
        </w:rPr>
        <w:object w:dxaOrig="37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33.75pt" o:ole="">
            <v:imagedata r:id="rId8" o:title=""/>
          </v:shape>
          <o:OLEObject Type="Embed" ProgID="Equation.DSMT4" ShapeID="_x0000_i1025" DrawAspect="Content" ObjectID="_1584942540" r:id="rId9"/>
        </w:object>
      </w:r>
      <w:r w:rsidRPr="00350B7A">
        <w:t xml:space="preserve"> </w:t>
      </w:r>
      <w:r w:rsidRPr="00350B7A">
        <w:tab/>
      </w:r>
      <w:r w:rsidRPr="00350B7A">
        <w:fldChar w:fldCharType="begin"/>
      </w:r>
      <w:r w:rsidRPr="00350B7A">
        <w:instrText xml:space="preserve"> MACROBUTTON MTPlaceRef \* MERGEFORMAT </w:instrText>
      </w:r>
      <w:r w:rsidRPr="00350B7A">
        <w:fldChar w:fldCharType="begin"/>
      </w:r>
      <w:r w:rsidRPr="00350B7A">
        <w:instrText xml:space="preserve"> SEQ MTEqn \h \* MERGEFORMAT </w:instrText>
      </w:r>
      <w:r w:rsidRPr="00350B7A">
        <w:fldChar w:fldCharType="end"/>
      </w:r>
      <w:r w:rsidRPr="00350B7A">
        <w:instrText>(</w:instrText>
      </w:r>
      <w:fldSimple w:instr=" SEQ MTSec \c \* Arabic \* MERGEFORMAT ">
        <w:r w:rsidR="008515EC" w:rsidRPr="00350B7A">
          <w:rPr>
            <w:noProof/>
          </w:rPr>
          <w:instrText>1</w:instrText>
        </w:r>
      </w:fldSimple>
      <w:r w:rsidRPr="00350B7A">
        <w:instrText>.</w:instrText>
      </w:r>
      <w:fldSimple w:instr=" SEQ MTEqn \c \* Arabic \* MERGEFORMAT ">
        <w:r w:rsidR="008515EC" w:rsidRPr="00350B7A">
          <w:rPr>
            <w:noProof/>
          </w:rPr>
          <w:instrText>1</w:instrText>
        </w:r>
      </w:fldSimple>
      <w:r w:rsidRPr="00350B7A">
        <w:instrText>)</w:instrText>
      </w:r>
      <w:r w:rsidRPr="00350B7A">
        <w:fldChar w:fldCharType="end"/>
      </w:r>
    </w:p>
    <w:p w:rsidR="008515EC" w:rsidRPr="00350B7A" w:rsidRDefault="007A7781" w:rsidP="00357A78">
      <w:pPr>
        <w:pStyle w:val="MDPI31text"/>
      </w:pPr>
      <w:r w:rsidRPr="00350B7A">
        <w:t xml:space="preserve">Where the first part – a(m)m(g,r) - is the utility received from a certain amount m depending on g (the amount invested by the individual) and r (the amount invested by everyone else) and a coefficient a(m), which converts the monetary amount in utility. </w:t>
      </w:r>
      <w:r w:rsidR="008515EC" w:rsidRPr="00350B7A">
        <w:t>For a simple public goods game with a return of 50% for each unit amount invested the amount m is then</w:t>
      </w:r>
    </w:p>
    <w:p w:rsidR="008515EC" w:rsidRPr="00350B7A" w:rsidRDefault="008515EC" w:rsidP="008515EC">
      <w:pPr>
        <w:pStyle w:val="MTDisplayEquation"/>
      </w:pPr>
      <w:r w:rsidRPr="00350B7A">
        <w:tab/>
      </w:r>
      <w:r w:rsidRPr="00350B7A">
        <w:rPr>
          <w:position w:val="-10"/>
        </w:rPr>
        <w:object w:dxaOrig="2220" w:dyaOrig="320">
          <v:shape id="_x0000_i1026" type="#_x0000_t75" style="width:111pt;height:15.75pt" o:ole="">
            <v:imagedata r:id="rId10" o:title=""/>
          </v:shape>
          <o:OLEObject Type="Embed" ProgID="Equation.DSMT4" ShapeID="_x0000_i1026" DrawAspect="Content" ObjectID="_1584942541" r:id="rId11"/>
        </w:object>
      </w:r>
      <w:r w:rsidRPr="00350B7A">
        <w:t xml:space="preserve"> </w:t>
      </w:r>
      <w:r w:rsidRPr="00350B7A">
        <w:tab/>
      </w:r>
      <w:r w:rsidRPr="00350B7A">
        <w:fldChar w:fldCharType="begin"/>
      </w:r>
      <w:r w:rsidRPr="00350B7A">
        <w:instrText xml:space="preserve"> MACROBUTTON MTPlaceRef \* MERGEFORMAT </w:instrText>
      </w:r>
      <w:r w:rsidRPr="00350B7A">
        <w:fldChar w:fldCharType="begin"/>
      </w:r>
      <w:r w:rsidRPr="00350B7A">
        <w:instrText xml:space="preserve"> SEQ MTEqn \h \* MERGEFORMAT </w:instrText>
      </w:r>
      <w:r w:rsidRPr="00350B7A">
        <w:fldChar w:fldCharType="end"/>
      </w:r>
      <w:r w:rsidRPr="00350B7A">
        <w:instrText>(</w:instrText>
      </w:r>
      <w:fldSimple w:instr=" SEQ MTSec \c \* Arabic \* MERGEFORMAT ">
        <w:r w:rsidRPr="00350B7A">
          <w:rPr>
            <w:noProof/>
          </w:rPr>
          <w:instrText>1</w:instrText>
        </w:r>
      </w:fldSimple>
      <w:r w:rsidRPr="00350B7A">
        <w:instrText>.</w:instrText>
      </w:r>
      <w:fldSimple w:instr=" SEQ MTEqn \c \* Arabic \* MERGEFORMAT ">
        <w:r w:rsidRPr="00350B7A">
          <w:rPr>
            <w:noProof/>
          </w:rPr>
          <w:instrText>2</w:instrText>
        </w:r>
      </w:fldSimple>
      <w:r w:rsidRPr="00350B7A">
        <w:instrText>)</w:instrText>
      </w:r>
      <w:r w:rsidRPr="00350B7A">
        <w:fldChar w:fldCharType="end"/>
      </w:r>
    </w:p>
    <w:p w:rsidR="003B2324" w:rsidRPr="00350B7A" w:rsidRDefault="007A7781" w:rsidP="00357A78">
      <w:pPr>
        <w:pStyle w:val="MDPI31text"/>
      </w:pPr>
      <w:r w:rsidRPr="00350B7A">
        <w:t xml:space="preserve"> </w:t>
      </w:r>
      <w:r w:rsidR="008515EC" w:rsidRPr="00350B7A">
        <w:t xml:space="preserve">With W being the initial endowment of the participant (e.g, in this study $1). </w:t>
      </w:r>
    </w:p>
    <w:p w:rsidR="00EF217E" w:rsidRPr="00350B7A" w:rsidRDefault="008515EC" w:rsidP="00357A78">
      <w:pPr>
        <w:pStyle w:val="MDPI31text"/>
      </w:pPr>
      <w:r w:rsidRPr="00350B7A">
        <w:t>This first part of the utility function is</w:t>
      </w:r>
      <w:r w:rsidR="003D3963" w:rsidRPr="00350B7A">
        <w:t xml:space="preserve"> similar to the one proposed by Andreoni </w:t>
      </w:r>
      <w:r w:rsidR="003D3963" w:rsidRPr="00350B7A">
        <w:fldChar w:fldCharType="begin"/>
      </w:r>
      <w:r w:rsidR="00631347" w:rsidRPr="00350B7A">
        <w:instrText xml:space="preserve"> ADDIN ZOTERO_ITEM CSL_CITATION {"citationID":"a89s4tk8tb","properties":{"formattedCitation":"[18]","plainCitation":"[18]"},"citationItems":[{"id":296,"uris":["http://zotero.org/users/4719949/items/HKKX8H84"],"uri":["http://zotero.org/users/4719949/items/HKKX8H84"],"itemData":{"id":296,"type":"article-journal","title":"Impure Altruism and Donations to Public Goods: A Theory of Warm-Glow Giving","container-title":"The Economic Journal","page":"464-477","volume":"100","issue":"401","source":"JSTOR","DOI":"10.2307/2234133","ISSN":"0013-0133","shortTitle":"Impure Altruism and Donations to Public Goods","author":[{"family":"Andreoni","given":"James"}],"issued":{"date-parts":[["1990"]]}}}],"schema":"https://github.com/citation-style-language/schema/raw/master/csl-citation.json"} </w:instrText>
      </w:r>
      <w:r w:rsidR="003D3963" w:rsidRPr="00350B7A">
        <w:fldChar w:fldCharType="separate"/>
      </w:r>
      <w:r w:rsidR="00631347" w:rsidRPr="00350B7A">
        <w:t>[18]</w:t>
      </w:r>
      <w:r w:rsidR="003D3963" w:rsidRPr="00350B7A">
        <w:fldChar w:fldCharType="end"/>
      </w:r>
      <w:r w:rsidR="003D3963" w:rsidRPr="00350B7A">
        <w:t xml:space="preserve"> and straight forward as it</w:t>
      </w:r>
      <w:r w:rsidRPr="00350B7A">
        <w:t xml:space="preserve"> fits nicely into </w:t>
      </w:r>
      <w:r w:rsidR="003D3963" w:rsidRPr="00350B7A">
        <w:t>rational choice</w:t>
      </w:r>
      <w:r w:rsidRPr="00350B7A">
        <w:t xml:space="preserve"> theory. More money is preferred to less (i.e., coefficient a is positive) and hence utility increases with a bigger return. The individual also has an incentive to invest zero into the public good (i.e., g=0) to maximize m. </w:t>
      </w:r>
    </w:p>
    <w:p w:rsidR="008515EC" w:rsidRPr="00350B7A" w:rsidRDefault="008515EC" w:rsidP="00357A78">
      <w:pPr>
        <w:pStyle w:val="MDPI31text"/>
      </w:pPr>
      <w:r w:rsidRPr="00350B7A">
        <w:t>Since research has shown that – despite this incentive – individuals do invest in the public good, an additional part to the utility function is needed.</w:t>
      </w:r>
      <w:r w:rsidR="00EF217E" w:rsidRPr="00350B7A">
        <w:t xml:space="preserve"> And since the contribution to the public goods game has been shown to vary among individuals, this second part needs to be somehow dependent on the personality or psychological traits of the individuals. One way to represent this is given by the</w:t>
      </w:r>
      <w:r w:rsidRPr="00350B7A">
        <w:t xml:space="preserve"> second part of the utility function</w:t>
      </w:r>
      <w:r w:rsidR="00EF217E" w:rsidRPr="00350B7A">
        <w:t>:</w:t>
      </w:r>
      <w:r w:rsidRPr="00350B7A">
        <w:t xml:space="preserve"> </w:t>
      </w:r>
      <w:r w:rsidRPr="00350B7A">
        <w:rPr>
          <w:position w:val="-28"/>
        </w:rPr>
        <w:object w:dxaOrig="1359" w:dyaOrig="680">
          <v:shape id="_x0000_i1027" type="#_x0000_t75" style="width:67.5pt;height:33.75pt" o:ole="">
            <v:imagedata r:id="rId12" o:title=""/>
          </v:shape>
          <o:OLEObject Type="Embed" ProgID="Equation.DSMT4" ShapeID="_x0000_i1027" DrawAspect="Content" ObjectID="_1584942542" r:id="rId13"/>
        </w:object>
      </w:r>
      <w:r w:rsidRPr="00350B7A">
        <w:t xml:space="preserve"> is the sum of the </w:t>
      </w:r>
      <w:r w:rsidR="00EF217E" w:rsidRPr="00350B7A">
        <w:t>T relevant personality traits t</w:t>
      </w:r>
      <w:r w:rsidR="00EF217E" w:rsidRPr="00350B7A">
        <w:rPr>
          <w:vertAlign w:val="subscript"/>
        </w:rPr>
        <w:t>i</w:t>
      </w:r>
      <w:r w:rsidR="00EF217E" w:rsidRPr="00350B7A">
        <w:t xml:space="preserve"> times their respective coefficient b</w:t>
      </w:r>
      <w:r w:rsidR="00EF217E" w:rsidRPr="00350B7A">
        <w:rPr>
          <w:vertAlign w:val="subscript"/>
        </w:rPr>
        <w:t xml:space="preserve">i </w:t>
      </w:r>
      <w:r w:rsidR="00EF217E" w:rsidRPr="00350B7A">
        <w:t>and the given amount g. When g increases, the second part of the utility function can outweigh the negative marginal effect of the first part depending on the individual’s personality traits. E.g., an</w:t>
      </w:r>
      <w:r w:rsidR="00D45374" w:rsidRPr="00350B7A">
        <w:t xml:space="preserve"> empathetic</w:t>
      </w:r>
      <w:r w:rsidR="00EF217E" w:rsidRPr="00350B7A">
        <w:t xml:space="preserve"> individual has a strict preference for group cooperative behavior</w:t>
      </w:r>
      <w:r w:rsidR="00D45374" w:rsidRPr="00350B7A">
        <w:t xml:space="preserve"> knowing that the investment is best for the group. </w:t>
      </w:r>
    </w:p>
    <w:p w:rsidR="00775C64" w:rsidRPr="00350B7A" w:rsidRDefault="00775C64" w:rsidP="00357A78">
      <w:pPr>
        <w:pStyle w:val="MDPI31text"/>
      </w:pPr>
      <w:r w:rsidRPr="00350B7A">
        <w:t>This leads to the research question:</w:t>
      </w:r>
    </w:p>
    <w:p w:rsidR="00775C64" w:rsidRPr="00350B7A" w:rsidRDefault="00775C64" w:rsidP="00775C64">
      <w:pPr>
        <w:pStyle w:val="MDPI31text"/>
        <w:jc w:val="center"/>
      </w:pPr>
    </w:p>
    <w:p w:rsidR="00775C64" w:rsidRPr="00350B7A" w:rsidRDefault="00775C64" w:rsidP="00775C64">
      <w:pPr>
        <w:pStyle w:val="MDPI31text"/>
        <w:jc w:val="center"/>
        <w:rPr>
          <w:i/>
        </w:rPr>
      </w:pPr>
      <w:r w:rsidRPr="00350B7A">
        <w:rPr>
          <w:i/>
        </w:rPr>
        <w:t>Which personality or psychological traits determine cooperative behavior in the public goods game?</w:t>
      </w:r>
    </w:p>
    <w:p w:rsidR="00775C64" w:rsidRPr="00350B7A" w:rsidRDefault="00775C64" w:rsidP="00357A78">
      <w:pPr>
        <w:pStyle w:val="MDPI31text"/>
      </w:pPr>
    </w:p>
    <w:p w:rsidR="00775C64" w:rsidRPr="00350B7A" w:rsidRDefault="00775C64" w:rsidP="002D7C6E">
      <w:pPr>
        <w:pStyle w:val="MDPI31text"/>
        <w:spacing w:line="240" w:lineRule="auto"/>
      </w:pPr>
      <w:r w:rsidRPr="00350B7A">
        <w:t>In this research study, we collect data on a range of personality and psychological traits to test whether and which traits could predict cooperative behavior. There are some personality traits</w:t>
      </w:r>
      <w:r w:rsidR="005B69F8" w:rsidRPr="00350B7A">
        <w:t xml:space="preserve"> that</w:t>
      </w:r>
      <w:r w:rsidRPr="00350B7A">
        <w:t xml:space="preserve"> can be expected to have little correlation with the behavior in a public goods game. For example, in the Big Five personality traits</w:t>
      </w:r>
      <w:r w:rsidR="009A5C43" w:rsidRPr="00350B7A">
        <w:t xml:space="preserve"> </w:t>
      </w:r>
      <w:r w:rsidR="009A5C43" w:rsidRPr="00350B7A">
        <w:fldChar w:fldCharType="begin"/>
      </w:r>
      <w:r w:rsidR="00631347" w:rsidRPr="00350B7A">
        <w:instrText xml:space="preserve"> ADDIN ZOTERO_ITEM CSL_CITATION {"citationID":"a125dpkaj08","properties":{"formattedCitation":"[10]","plainCitation":"[10]"},"citationItems":[{"id":10,"uris":["http://zotero.org/users/4719949/items/R2DHMUPS"],"uri":["http://zotero.org/users/4719949/items/R2DHMUPS"],"itemData":{"id":10,"type":"book","title":"The big five inventory—versions 4a and 54","publisher":"Berkeley, CA: University of California, Berkeley, Institute of Personality and Social Research","source":"Google Scholar","author":[{"family":"John","given":"Oliver P."},{"family":"Donahue","given":"Eileen M."},{"family":"Kentle","given":"Robert L."}],"issued":{"date-parts":[["1991"]]}}}],"schema":"https://github.com/citation-style-language/schema/raw/master/csl-citation.json"} </w:instrText>
      </w:r>
      <w:r w:rsidR="009A5C43" w:rsidRPr="00350B7A">
        <w:fldChar w:fldCharType="separate"/>
      </w:r>
      <w:r w:rsidR="00631347" w:rsidRPr="00350B7A">
        <w:t>[10]</w:t>
      </w:r>
      <w:r w:rsidR="009A5C43" w:rsidRPr="00350B7A">
        <w:fldChar w:fldCharType="end"/>
      </w:r>
      <w:r w:rsidRPr="00350B7A">
        <w:t>, openness to experience or conscientiousness</w:t>
      </w:r>
      <w:r w:rsidR="005B69F8" w:rsidRPr="00350B7A">
        <w:t xml:space="preserve"> are not likely to correlate with cooperative behavior as they refer to more risk-related issues. Not surprisingly, these measures were also not statistically significant in our analysis. In the Rational Experiential Inventory</w:t>
      </w:r>
      <w:r w:rsidR="009A5C43" w:rsidRPr="00350B7A">
        <w:t xml:space="preserve"> (REI-40) </w:t>
      </w:r>
      <w:r w:rsidR="009A5C43" w:rsidRPr="00350B7A">
        <w:fldChar w:fldCharType="begin"/>
      </w:r>
      <w:r w:rsidR="00631347" w:rsidRPr="00350B7A">
        <w:instrText xml:space="preserve"> ADDIN ZOTERO_ITEM CSL_CITATION {"citationID":"a1ub7eu6207","properties":{"formattedCitation":"[19]","plainCitation":"[19]"},"citationItems":[{"id":6,"uris":["http://zotero.org/users/4719949/items/T74ALKNL"],"uri":["http://zotero.org/users/4719949/items/T74ALKNL"],"itemData":{"id":6,"type":"article-journal","title":"The relation of rational and experiential information processing styles to personality, basic beliefs, and the ratio-bias phenomenon.","container-title":"Journal of personality and social psychology","page":"972","volume":"76","issue":"6","source":"Google Scholar","DOI":"https://doi.org/10.1037/0022-3514.76.6.972","author":[{"family":"Pacini","given":"Rosemary"},{"family":"Epstein","given":"Seymour"}],"issued":{"date-parts":[["1999"]]}}}],"schema":"https://github.com/citation-style-language/schema/raw/master/csl-citation.json"} </w:instrText>
      </w:r>
      <w:r w:rsidR="009A5C43" w:rsidRPr="00350B7A">
        <w:fldChar w:fldCharType="separate"/>
      </w:r>
      <w:r w:rsidR="00631347" w:rsidRPr="00350B7A">
        <w:t>[19]</w:t>
      </w:r>
      <w:r w:rsidR="009A5C43" w:rsidRPr="00350B7A">
        <w:fldChar w:fldCharType="end"/>
      </w:r>
      <w:r w:rsidR="005B69F8" w:rsidRPr="00350B7A">
        <w:t>, however, rational ability and rational engagement</w:t>
      </w:r>
      <w:r w:rsidRPr="00350B7A">
        <w:t xml:space="preserve"> </w:t>
      </w:r>
      <w:r w:rsidR="005B69F8" w:rsidRPr="00350B7A">
        <w:t>could be expected to show some influence.</w:t>
      </w:r>
      <w:r w:rsidR="002D7C6E" w:rsidRPr="00350B7A">
        <w:t xml:space="preserve"> ational ability refers to the individual’s tendency to be analytical and make logical connections, whereas experiential ability refers to being affective (i.e., doing what feels good) and reliant on past experiences.</w:t>
      </w:r>
      <w:r w:rsidR="005B69F8" w:rsidRPr="00350B7A">
        <w:t xml:space="preserve"> A more rational individual </w:t>
      </w:r>
      <w:r w:rsidR="002D7C6E" w:rsidRPr="00350B7A">
        <w:t xml:space="preserve">relies less on the past experiences for their decision and </w:t>
      </w:r>
      <w:r w:rsidR="005B69F8" w:rsidRPr="00350B7A">
        <w:t>might think more thoroughly about the consequences of different strategies in th</w:t>
      </w:r>
      <w:r w:rsidR="002D7C6E" w:rsidRPr="00350B7A">
        <w:t>is particular situation</w:t>
      </w:r>
      <w:r w:rsidR="009A5C43" w:rsidRPr="00350B7A">
        <w:t>. They could</w:t>
      </w:r>
      <w:r w:rsidR="005B69F8" w:rsidRPr="00350B7A">
        <w:t xml:space="preserve"> </w:t>
      </w:r>
      <w:r w:rsidR="009A5C43" w:rsidRPr="00350B7A">
        <w:t>conclude</w:t>
      </w:r>
      <w:r w:rsidR="005B69F8" w:rsidRPr="00350B7A">
        <w:t xml:space="preserve"> that </w:t>
      </w:r>
      <w:r w:rsidR="009A5C43" w:rsidRPr="00350B7A">
        <w:t>her/his own actions have no influence on others’ contribution since it is a one-shot game and that there are no repercussions for un-cooperative behavior. Hence, a hypothesis is that individuals, who score higher on the rational ability measure will also invest less into the public good.</w:t>
      </w:r>
    </w:p>
    <w:p w:rsidR="00357A78" w:rsidRPr="00350B7A" w:rsidRDefault="00357A78" w:rsidP="002D7C6E">
      <w:pPr>
        <w:pStyle w:val="MDPI31text"/>
        <w:spacing w:line="240" w:lineRule="auto"/>
      </w:pPr>
      <w:r w:rsidRPr="00350B7A">
        <w:t>We find that none of the coefficient</w:t>
      </w:r>
      <w:r w:rsidR="00A85322" w:rsidRPr="00350B7A">
        <w:t>s</w:t>
      </w:r>
      <w:r w:rsidRPr="00350B7A">
        <w:t xml:space="preserve"> for the personality traits of the Big Five measurements show statistical significance. When testing the measurements of the REI-40 we find that ‘rational ability’ </w:t>
      </w:r>
      <w:r w:rsidRPr="00350B7A">
        <w:lastRenderedPageBreak/>
        <w:t xml:space="preserve">shows statistical significance for the behavior of males, and weak statistical significance for females. We explain the gender difference in statistical significance with the difference in the distribution of contributions between males and females.  </w:t>
      </w:r>
    </w:p>
    <w:p w:rsidR="00357A78" w:rsidRPr="00350B7A" w:rsidRDefault="00357A78" w:rsidP="002D7C6E">
      <w:pPr>
        <w:pStyle w:val="MDPI31text"/>
        <w:spacing w:line="240" w:lineRule="auto"/>
      </w:pPr>
      <w:r w:rsidRPr="00350B7A">
        <w:t xml:space="preserve">In the following chapter we will present the experimental design of the survey and the public goods game. </w:t>
      </w:r>
      <w:r w:rsidR="002D7C6E" w:rsidRPr="00350B7A">
        <w:t>A chapter presenting the results follows it</w:t>
      </w:r>
      <w:r w:rsidRPr="00350B7A">
        <w:t>. Finally, we will conclude with the conclusion and an outlook on future research.</w:t>
      </w:r>
    </w:p>
    <w:bookmarkEnd w:id="0"/>
    <w:bookmarkEnd w:id="1"/>
    <w:p w:rsidR="009836DF" w:rsidRPr="00350B7A" w:rsidRDefault="00357A78" w:rsidP="00357A78">
      <w:pPr>
        <w:pStyle w:val="MDPI21heading1"/>
      </w:pPr>
      <w:r w:rsidRPr="00350B7A">
        <w:t>2. Experimental Section</w:t>
      </w:r>
    </w:p>
    <w:p w:rsidR="00EA6423" w:rsidRPr="00350B7A" w:rsidRDefault="00357A78" w:rsidP="00CB4B65">
      <w:pPr>
        <w:pStyle w:val="MDPI22heading2"/>
      </w:pPr>
      <w:r w:rsidRPr="00350B7A">
        <w:t>2.1. Survey</w:t>
      </w:r>
    </w:p>
    <w:p w:rsidR="00357A78" w:rsidRPr="00350B7A" w:rsidRDefault="00357A78" w:rsidP="002D7C6E">
      <w:pPr>
        <w:pStyle w:val="Mdeck4text"/>
        <w:spacing w:line="240" w:lineRule="auto"/>
        <w:rPr>
          <w:rFonts w:ascii="Palatino Linotype" w:hAnsi="Palatino Linotype" w:cs="Times New Roman"/>
          <w:sz w:val="20"/>
          <w:szCs w:val="22"/>
        </w:rPr>
      </w:pPr>
      <w:r w:rsidRPr="00350B7A">
        <w:rPr>
          <w:rFonts w:ascii="Palatino Linotype" w:hAnsi="Palatino Linotype" w:cs="Times New Roman"/>
          <w:sz w:val="20"/>
          <w:szCs w:val="22"/>
        </w:rPr>
        <w:t xml:space="preserve">Students from three different colleges in the North-East of the United States were invited to take part in our experiment using the universities’ respective experimental economics online recruitment systems. All participants were required to fill out an online personality traits survey using the </w:t>
      </w:r>
      <w:r w:rsidR="00C21EB7" w:rsidRPr="00350B7A">
        <w:rPr>
          <w:rFonts w:ascii="Palatino Linotype" w:hAnsi="Palatino Linotype" w:cs="Times New Roman"/>
          <w:sz w:val="20"/>
          <w:szCs w:val="22"/>
        </w:rPr>
        <w:t>website www.surveymonkey.com</w:t>
      </w:r>
      <w:r w:rsidR="0048234A" w:rsidRPr="00350B7A">
        <w:rPr>
          <w:rFonts w:ascii="Palatino Linotype" w:hAnsi="Palatino Linotype" w:cs="Times New Roman"/>
          <w:sz w:val="20"/>
          <w:szCs w:val="22"/>
        </w:rPr>
        <w:t xml:space="preserve"> </w:t>
      </w:r>
      <w:r w:rsidR="0048234A" w:rsidRPr="00350B7A">
        <w:rPr>
          <w:rFonts w:ascii="Palatino Linotype" w:hAnsi="Palatino Linotype" w:cs="Times New Roman"/>
          <w:sz w:val="20"/>
          <w:szCs w:val="22"/>
        </w:rPr>
        <w:fldChar w:fldCharType="begin"/>
      </w:r>
      <w:r w:rsidR="00631347" w:rsidRPr="00350B7A">
        <w:rPr>
          <w:rFonts w:ascii="Palatino Linotype" w:hAnsi="Palatino Linotype" w:cs="Times New Roman"/>
          <w:sz w:val="20"/>
          <w:szCs w:val="22"/>
        </w:rPr>
        <w:instrText xml:space="preserve"> ADDIN ZOTERO_ITEM CSL_CITATION {"citationID":"a64b6k4o20","properties":{"formattedCitation":"[20]","plainCitation":"[20]"},"citationItems":[{"id":3,"uris":["http://zotero.org/users/4719949/items/B7EMXFU3"],"uri":["http://zotero.org/users/4719949/items/B7EMXFU3"],"itemData":{"id":3,"type":"book","title":"SurveyMonkey","URL":"www.surveymonkey.com"}}],"schema":"https://github.com/citation-style-language/schema/raw/master/csl-citation.json"} </w:instrText>
      </w:r>
      <w:r w:rsidR="0048234A" w:rsidRPr="00350B7A">
        <w:rPr>
          <w:rFonts w:ascii="Palatino Linotype" w:hAnsi="Palatino Linotype" w:cs="Times New Roman"/>
          <w:sz w:val="20"/>
          <w:szCs w:val="22"/>
        </w:rPr>
        <w:fldChar w:fldCharType="separate"/>
      </w:r>
      <w:r w:rsidR="00631347" w:rsidRPr="00350B7A">
        <w:rPr>
          <w:rFonts w:ascii="Palatino Linotype" w:hAnsi="Palatino Linotype"/>
          <w:sz w:val="20"/>
        </w:rPr>
        <w:t>[20]</w:t>
      </w:r>
      <w:r w:rsidR="0048234A" w:rsidRPr="00350B7A">
        <w:rPr>
          <w:rFonts w:ascii="Palatino Linotype" w:hAnsi="Palatino Linotype" w:cs="Times New Roman"/>
          <w:sz w:val="20"/>
          <w:szCs w:val="22"/>
        </w:rPr>
        <w:fldChar w:fldCharType="end"/>
      </w:r>
      <w:r w:rsidRPr="00350B7A">
        <w:rPr>
          <w:rFonts w:ascii="Palatino Linotype" w:hAnsi="Palatino Linotype" w:cs="Times New Roman"/>
          <w:sz w:val="20"/>
          <w:szCs w:val="22"/>
        </w:rPr>
        <w:t xml:space="preserve"> at least one week prior to being invited to the laboratory. The online sur</w:t>
      </w:r>
      <w:r w:rsidR="0048234A" w:rsidRPr="00350B7A">
        <w:rPr>
          <w:rFonts w:ascii="Palatino Linotype" w:hAnsi="Palatino Linotype" w:cs="Times New Roman"/>
          <w:sz w:val="20"/>
          <w:szCs w:val="22"/>
        </w:rPr>
        <w:t xml:space="preserve">vey included the Big Five test </w:t>
      </w:r>
      <w:r w:rsidR="0048234A" w:rsidRPr="00350B7A">
        <w:rPr>
          <w:rFonts w:ascii="Palatino Linotype" w:hAnsi="Palatino Linotype" w:cs="Times New Roman"/>
          <w:sz w:val="20"/>
          <w:szCs w:val="22"/>
        </w:rPr>
        <w:fldChar w:fldCharType="begin"/>
      </w:r>
      <w:r w:rsidR="00631347" w:rsidRPr="00350B7A">
        <w:rPr>
          <w:rFonts w:ascii="Palatino Linotype" w:hAnsi="Palatino Linotype" w:cs="Times New Roman"/>
          <w:sz w:val="20"/>
          <w:szCs w:val="22"/>
        </w:rPr>
        <w:instrText xml:space="preserve"> ADDIN ZOTERO_ITEM CSL_CITATION {"citationID":"a2m18vldp0b","properties":{"formattedCitation":"[10,11]","plainCitation":"[10,11]"},"citationItems":[{"id":10,"uris":["http://zotero.org/users/4719949/items/R2DHMUPS"],"uri":["http://zotero.org/users/4719949/items/R2DHMUPS"],"itemData":{"id":10,"type":"book","title":"The big five inventory—versions 4a and 54","publisher":"Berkeley, CA: University of California, Berkeley, Institute of Personality and Social Research","source":"Google Scholar","author":[{"family":"John","given":"Oliver P."},{"family":"Donahue","given":"Eileen M."},{"family":"Kentle","given":"Robert L."}],"issued":{"date-parts":[["1991"]]}}},{"id":9,"uris":["http://zotero.org/users/4719949/items/D5SFUCS5"],"uri":["http://zotero.org/users/4719949/items/D5SFUCS5"],"itemData":{"id":9,"type":"chapter","title":"Paradigm shift to the integrative big five trait taxonomy","container-title":"Handbook of personality: Theory and research","publisher":"The Guilford Press","publisher-place":"New York, London","page":"114–158","edition":"3rd","source":"Google Scholar","event-place":"New York, London","ISBN":"978-1-59385-836-0","author":[{"family":"John","given":"Oliver P."},{"family":"Naumann","given":"Laura P."},{"family":"Soto","given":"Christopher J."}],"container-author":[{"family":"John","given":"Oliver P."},{"family":"Robins","given":"Richard W."},{"family":"Pervin","given":"Lawrence A."}],"issued":{"date-parts":[["2008"]]}}}],"schema":"https://github.com/citation-style-language/schema/raw/master/csl-citation.json"} </w:instrText>
      </w:r>
      <w:r w:rsidR="0048234A" w:rsidRPr="00350B7A">
        <w:rPr>
          <w:rFonts w:ascii="Palatino Linotype" w:hAnsi="Palatino Linotype" w:cs="Times New Roman"/>
          <w:sz w:val="20"/>
          <w:szCs w:val="22"/>
        </w:rPr>
        <w:fldChar w:fldCharType="separate"/>
      </w:r>
      <w:r w:rsidR="00631347" w:rsidRPr="00350B7A">
        <w:rPr>
          <w:rFonts w:ascii="Palatino Linotype" w:hAnsi="Palatino Linotype"/>
          <w:sz w:val="20"/>
        </w:rPr>
        <w:t>[10,11]</w:t>
      </w:r>
      <w:r w:rsidR="0048234A" w:rsidRPr="00350B7A">
        <w:rPr>
          <w:rFonts w:ascii="Palatino Linotype" w:hAnsi="Palatino Linotype" w:cs="Times New Roman"/>
          <w:sz w:val="20"/>
          <w:szCs w:val="22"/>
        </w:rPr>
        <w:fldChar w:fldCharType="end"/>
      </w:r>
      <w:r w:rsidRPr="00350B7A">
        <w:rPr>
          <w:rFonts w:ascii="Palatino Linotype" w:hAnsi="Palatino Linotype" w:cs="Times New Roman"/>
          <w:sz w:val="20"/>
          <w:szCs w:val="22"/>
        </w:rPr>
        <w:t xml:space="preserve">, the REI-40 </w:t>
      </w:r>
      <w:r w:rsidR="0048234A" w:rsidRPr="00350B7A">
        <w:rPr>
          <w:rFonts w:ascii="Palatino Linotype" w:hAnsi="Palatino Linotype" w:cs="Times New Roman"/>
          <w:sz w:val="20"/>
          <w:szCs w:val="22"/>
        </w:rPr>
        <w:fldChar w:fldCharType="begin"/>
      </w:r>
      <w:r w:rsidR="00631347" w:rsidRPr="00350B7A">
        <w:rPr>
          <w:rFonts w:ascii="Palatino Linotype" w:hAnsi="Palatino Linotype" w:cs="Times New Roman"/>
          <w:sz w:val="20"/>
          <w:szCs w:val="22"/>
        </w:rPr>
        <w:instrText xml:space="preserve"> ADDIN ZOTERO_ITEM CSL_CITATION {"citationID":"a2h68bqju33","properties":{"formattedCitation":"[19]","plainCitation":"[19]"},"citationItems":[{"id":6,"uris":["http://zotero.org/users/4719949/items/T74ALKNL"],"uri":["http://zotero.org/users/4719949/items/T74ALKNL"],"itemData":{"id":6,"type":"article-journal","title":"The relation of rational and experiential information processing styles to personality, basic beliefs, and the ratio-bias phenomenon.","container-title":"Journal of personality and social psychology","page":"972","volume":"76","issue":"6","source":"Google Scholar","DOI":"https://doi.org/10.1037/0022-3514.76.6.972","author":[{"family":"Pacini","given":"Rosemary"},{"family":"Epstein","given":"Seymour"}],"issued":{"date-parts":[["1999"]]}}}],"schema":"https://github.com/citation-style-language/schema/raw/master/csl-citation.json"} </w:instrText>
      </w:r>
      <w:r w:rsidR="0048234A" w:rsidRPr="00350B7A">
        <w:rPr>
          <w:rFonts w:ascii="Palatino Linotype" w:hAnsi="Palatino Linotype" w:cs="Times New Roman"/>
          <w:sz w:val="20"/>
          <w:szCs w:val="22"/>
        </w:rPr>
        <w:fldChar w:fldCharType="separate"/>
      </w:r>
      <w:r w:rsidR="00631347" w:rsidRPr="00350B7A">
        <w:rPr>
          <w:rFonts w:ascii="Palatino Linotype" w:hAnsi="Palatino Linotype"/>
          <w:sz w:val="20"/>
        </w:rPr>
        <w:t>[19]</w:t>
      </w:r>
      <w:r w:rsidR="0048234A" w:rsidRPr="00350B7A">
        <w:rPr>
          <w:rFonts w:ascii="Palatino Linotype" w:hAnsi="Palatino Linotype" w:cs="Times New Roman"/>
          <w:sz w:val="20"/>
          <w:szCs w:val="22"/>
        </w:rPr>
        <w:fldChar w:fldCharType="end"/>
      </w:r>
      <w:r w:rsidRPr="00350B7A">
        <w:rPr>
          <w:rFonts w:ascii="Palatino Linotype" w:hAnsi="Palatino Linotype" w:cs="Times New Roman"/>
          <w:sz w:val="20"/>
          <w:szCs w:val="22"/>
        </w:rPr>
        <w:t xml:space="preserve">, the Wonderlic score </w:t>
      </w:r>
      <w:r w:rsidR="0048234A" w:rsidRPr="00350B7A">
        <w:rPr>
          <w:rFonts w:ascii="Palatino Linotype" w:hAnsi="Palatino Linotype" w:cs="Times New Roman"/>
          <w:sz w:val="20"/>
          <w:szCs w:val="22"/>
        </w:rPr>
        <w:fldChar w:fldCharType="begin"/>
      </w:r>
      <w:r w:rsidR="00631347" w:rsidRPr="00350B7A">
        <w:rPr>
          <w:rFonts w:ascii="Palatino Linotype" w:hAnsi="Palatino Linotype" w:cs="Times New Roman"/>
          <w:sz w:val="20"/>
          <w:szCs w:val="22"/>
        </w:rPr>
        <w:instrText xml:space="preserve"> ADDIN ZOTERO_ITEM CSL_CITATION {"citationID":"a2k0v976v0c","properties":{"formattedCitation":"[21]","plainCitation":"[21]"},"citationItems":[{"id":2,"uris":["http://zotero.org/users/4719949/items/EA5J3F32"],"uri":["http://zotero.org/users/4719949/items/EA5J3F32"],"itemData":{"id":2,"type":"book","title":"Wonderlic Personnel Test and Scholastic Level Exam: User's manual","publisher":"Wonderlic and Associates","publisher-place":"Northfield, IL","source":"Google Scholar","event-place":"Northfield, IL","shortTitle":"Wonderlic Personnel Test and Scholastic Level Exam","author":[{"family":"Wonderlic","given":"Eldon F."}],"issued":{"date-parts":[["1992"]]}}}],"schema":"https://github.com/citation-style-language/schema/raw/master/csl-citation.json"} </w:instrText>
      </w:r>
      <w:r w:rsidR="0048234A" w:rsidRPr="00350B7A">
        <w:rPr>
          <w:rFonts w:ascii="Palatino Linotype" w:hAnsi="Palatino Linotype" w:cs="Times New Roman"/>
          <w:sz w:val="20"/>
          <w:szCs w:val="22"/>
        </w:rPr>
        <w:fldChar w:fldCharType="separate"/>
      </w:r>
      <w:r w:rsidR="00631347" w:rsidRPr="00350B7A">
        <w:rPr>
          <w:rFonts w:ascii="Palatino Linotype" w:hAnsi="Palatino Linotype"/>
          <w:sz w:val="20"/>
        </w:rPr>
        <w:t>[21]</w:t>
      </w:r>
      <w:r w:rsidR="0048234A" w:rsidRPr="00350B7A">
        <w:rPr>
          <w:rFonts w:ascii="Palatino Linotype" w:hAnsi="Palatino Linotype" w:cs="Times New Roman"/>
          <w:sz w:val="20"/>
          <w:szCs w:val="22"/>
        </w:rPr>
        <w:fldChar w:fldCharType="end"/>
      </w:r>
      <w:r w:rsidRPr="00350B7A">
        <w:rPr>
          <w:rFonts w:ascii="Palatino Linotype" w:hAnsi="Palatino Linotype" w:cs="Times New Roman"/>
          <w:sz w:val="20"/>
          <w:szCs w:val="22"/>
        </w:rPr>
        <w:t xml:space="preserve">, the Holt and Laury Lottery measuring risk aversion </w:t>
      </w:r>
      <w:r w:rsidR="0048234A" w:rsidRPr="00350B7A">
        <w:rPr>
          <w:rFonts w:ascii="Palatino Linotype" w:hAnsi="Palatino Linotype" w:cs="Times New Roman"/>
          <w:sz w:val="20"/>
          <w:szCs w:val="22"/>
        </w:rPr>
        <w:fldChar w:fldCharType="begin"/>
      </w:r>
      <w:r w:rsidR="00631347" w:rsidRPr="00350B7A">
        <w:rPr>
          <w:rFonts w:ascii="Palatino Linotype" w:hAnsi="Palatino Linotype" w:cs="Times New Roman"/>
          <w:sz w:val="20"/>
          <w:szCs w:val="22"/>
        </w:rPr>
        <w:instrText xml:space="preserve"> ADDIN ZOTERO_ITEM CSL_CITATION {"citationID":"a1kvvec4ust","properties":{"formattedCitation":"[22]","plainCitation":"[22]"},"citationItems":[{"id":11,"uris":["http://zotero.org/users/4719949/items/4GWD3ECA"],"uri":["http://zotero.org/users/4719949/items/4GWD3ECA"],"itemData":{"id":11,"type":"article-journal","title":"Risk aversion and incentive effects","container-title":"American economic review","page":"1644–1655","volume":"92","issue":"5","source":"Google Scholar","DOI":"https://doi.org/10.1257/000282802762024700","author":[{"family":"Holt","given":"Charles A."},{"family":"Laury","given":"Susan K."}],"issued":{"date-parts":[["2002"]]}}}],"schema":"https://github.com/citation-style-language/schema/raw/master/csl-citation.json"} </w:instrText>
      </w:r>
      <w:r w:rsidR="0048234A" w:rsidRPr="00350B7A">
        <w:rPr>
          <w:rFonts w:ascii="Palatino Linotype" w:hAnsi="Palatino Linotype" w:cs="Times New Roman"/>
          <w:sz w:val="20"/>
          <w:szCs w:val="22"/>
        </w:rPr>
        <w:fldChar w:fldCharType="separate"/>
      </w:r>
      <w:r w:rsidR="00631347" w:rsidRPr="00350B7A">
        <w:rPr>
          <w:rFonts w:ascii="Palatino Linotype" w:hAnsi="Palatino Linotype"/>
          <w:sz w:val="20"/>
        </w:rPr>
        <w:t>[22]</w:t>
      </w:r>
      <w:r w:rsidR="0048234A" w:rsidRPr="00350B7A">
        <w:rPr>
          <w:rFonts w:ascii="Palatino Linotype" w:hAnsi="Palatino Linotype" w:cs="Times New Roman"/>
          <w:sz w:val="20"/>
          <w:szCs w:val="22"/>
        </w:rPr>
        <w:fldChar w:fldCharType="end"/>
      </w:r>
      <w:r w:rsidRPr="00350B7A">
        <w:rPr>
          <w:rFonts w:ascii="Palatino Linotype" w:hAnsi="Palatino Linotype" w:cs="Times New Roman"/>
          <w:sz w:val="20"/>
          <w:szCs w:val="22"/>
        </w:rPr>
        <w:t xml:space="preserve">, and the Mind in the Eyes test </w:t>
      </w:r>
      <w:r w:rsidR="0048234A" w:rsidRPr="00350B7A">
        <w:rPr>
          <w:rFonts w:ascii="Palatino Linotype" w:hAnsi="Palatino Linotype" w:cs="Times New Roman"/>
          <w:sz w:val="20"/>
          <w:szCs w:val="22"/>
        </w:rPr>
        <w:fldChar w:fldCharType="begin"/>
      </w:r>
      <w:r w:rsidR="00631347" w:rsidRPr="00350B7A">
        <w:rPr>
          <w:rFonts w:ascii="Palatino Linotype" w:hAnsi="Palatino Linotype" w:cs="Times New Roman"/>
          <w:sz w:val="20"/>
          <w:szCs w:val="22"/>
        </w:rPr>
        <w:instrText xml:space="preserve"> ADDIN ZOTERO_ITEM CSL_CITATION {"citationID":"a1caltjd4uh","properties":{"formattedCitation":"[23,24]","plainCitation":"[23,24]"},"citationItems":[{"id":19,"uris":["http://zotero.org/users/4719949/items/QFTF2ZZM"],"uri":["http://zotero.org/users/4719949/items/QFTF2ZZM"],"itemData":{"id":19,"type":"article-journal","title":"The “Reading the Mind in the Eyes” Test revised version: a study with normal adults, and adults with Asperger syndrome or high-functioning autism","container-title":"The Journal of Child Psychology and Psychiatry and Allied Disciplines","page":"241–251","volume":"42","issue":"2","source":"Google Scholar","DOI":"10.1111/1469-7610.00715","shortTitle":"The “Reading the Mind in the Eyes” Test revised version","author":[{"family":"Baron-Cohen","given":"Simon"},{"family":"Wheelwright","given":"Sally"},{"family":"Hill","given":"Jacqueline"},{"family":"Raste","given":"Yogini"},{"family":"Plumb","given":"Ian"}],"issued":{"date-parts":[["2001"]]}}},{"id":20,"uris":["http://zotero.org/users/4719949/items/IIWZ5ZKK"],"uri":["http://zotero.org/users/4719949/items/IIWZ5ZKK"],"itemData":{"id":20,"type":"article-journal","title":"Another advanced test of theory of mind: Evidence from very high functioning adults with autism or Asperger syndrome","container-title":"Journal of Child psychology and Psychiatry","page":"813–822","volume":"38","issue":"7","source":"Google Scholar","DOI":"10.1111/j.1469-7610.1997.tb01599.x","shortTitle":"Another advanced test of theory of mind","author":[{"family":"Baron-Cohen","given":"Simon"},{"family":"Jolliffe","given":"Therese"},{"family":"Mortimore","given":"Catherine"},{"family":"Robertson","given":"Mary"}],"issued":{"date-parts":[["1997"]]}}}],"schema":"https://github.com/citation-style-language/schema/raw/master/csl-citation.json"} </w:instrText>
      </w:r>
      <w:r w:rsidR="0048234A" w:rsidRPr="00350B7A">
        <w:rPr>
          <w:rFonts w:ascii="Palatino Linotype" w:hAnsi="Palatino Linotype" w:cs="Times New Roman"/>
          <w:sz w:val="20"/>
          <w:szCs w:val="22"/>
        </w:rPr>
        <w:fldChar w:fldCharType="separate"/>
      </w:r>
      <w:r w:rsidR="00631347" w:rsidRPr="00350B7A">
        <w:rPr>
          <w:rFonts w:ascii="Palatino Linotype" w:hAnsi="Palatino Linotype"/>
          <w:sz w:val="20"/>
        </w:rPr>
        <w:t>[23,24]</w:t>
      </w:r>
      <w:r w:rsidR="0048234A" w:rsidRPr="00350B7A">
        <w:rPr>
          <w:rFonts w:ascii="Palatino Linotype" w:hAnsi="Palatino Linotype" w:cs="Times New Roman"/>
          <w:sz w:val="20"/>
          <w:szCs w:val="22"/>
        </w:rPr>
        <w:fldChar w:fldCharType="end"/>
      </w:r>
      <w:r w:rsidR="0048234A" w:rsidRPr="00350B7A">
        <w:rPr>
          <w:rFonts w:ascii="Palatino Linotype" w:hAnsi="Palatino Linotype" w:cs="Times New Roman"/>
          <w:sz w:val="20"/>
          <w:szCs w:val="22"/>
        </w:rPr>
        <w:t>.</w:t>
      </w:r>
      <w:r w:rsidRPr="00350B7A">
        <w:rPr>
          <w:rFonts w:ascii="Palatino Linotype" w:hAnsi="Palatino Linotype" w:cs="Times New Roman"/>
          <w:sz w:val="20"/>
          <w:szCs w:val="22"/>
        </w:rPr>
        <w:t xml:space="preserve"> The tests were selected either due to their significance in findings of previous research (as mentioned in the review above) or because it was assumed that there could be an intuitive connection between the scores and economic decision-making.</w:t>
      </w:r>
    </w:p>
    <w:p w:rsidR="0048234A" w:rsidRPr="00350B7A" w:rsidRDefault="0048234A" w:rsidP="0048234A">
      <w:pPr>
        <w:pStyle w:val="MDPI22heading2"/>
      </w:pPr>
      <w:r w:rsidRPr="00350B7A">
        <w:t>2.2. Public Goods Game</w:t>
      </w:r>
    </w:p>
    <w:p w:rsidR="0048234A" w:rsidRPr="00350B7A" w:rsidRDefault="0048234A" w:rsidP="002D7C6E">
      <w:pPr>
        <w:pStyle w:val="Mdeck4text"/>
        <w:spacing w:line="240" w:lineRule="auto"/>
        <w:rPr>
          <w:rFonts w:ascii="Palatino Linotype" w:hAnsi="Palatino Linotype" w:cs="Times New Roman"/>
          <w:sz w:val="20"/>
          <w:szCs w:val="22"/>
        </w:rPr>
      </w:pPr>
      <w:r w:rsidRPr="00350B7A">
        <w:rPr>
          <w:rFonts w:ascii="Palatino Linotype" w:hAnsi="Palatino Linotype" w:cs="Times New Roman"/>
          <w:sz w:val="20"/>
          <w:szCs w:val="22"/>
        </w:rPr>
        <w:t>All participants, who successfully finished the survey, were then invited to participate in the laboratory experiment. At the beginning of each session participants were asked for demographic data: Age, gender, major, and college-years. Each participant then played the following games in a random order: the dictator game, the ultimatum game, the minimum effort game, and the prisoner’s dilemma game. After finishing these games all participants played a one-shot public goods game in which each participant could contribute to a public good and each contribution resulted in a payoff to all participants in the group, including one's self. The participants had to choose how much of a $1 endowment they would like to invest into the public good. In addition to the amount that each participant kept for themselves, she/he received a payout in the amount of half of the amount invested by the entire group. In a game with n participants the pay-off for the i</w:t>
      </w:r>
      <w:r w:rsidR="00281369" w:rsidRPr="00350B7A">
        <w:rPr>
          <w:rFonts w:ascii="Palatino Linotype" w:hAnsi="Palatino Linotype" w:cs="Times New Roman"/>
          <w:sz w:val="20"/>
          <w:szCs w:val="22"/>
        </w:rPr>
        <w:t>-</w:t>
      </w:r>
      <w:r w:rsidRPr="00350B7A">
        <w:rPr>
          <w:rFonts w:ascii="Palatino Linotype" w:hAnsi="Palatino Linotype" w:cs="Times New Roman"/>
          <w:sz w:val="20"/>
          <w:szCs w:val="22"/>
        </w:rPr>
        <w:t>th person was:</w:t>
      </w:r>
    </w:p>
    <w:p w:rsidR="007B78A4" w:rsidRPr="00350B7A" w:rsidRDefault="00350B7A" w:rsidP="002D7C6E">
      <w:pPr>
        <w:pStyle w:val="Mdeck4text"/>
        <w:spacing w:line="240" w:lineRule="auto"/>
        <w:jc w:val="right"/>
        <w:rPr>
          <w:rFonts w:ascii="Palatino Linotype" w:hAnsi="Palatino Linotype" w:cs="Times New Roman"/>
          <w:szCs w:val="24"/>
        </w:rPr>
      </w:pPr>
      <m:oMath>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i</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i</m:t>
                </m:r>
              </m:sub>
            </m:sSub>
          </m:e>
        </m:d>
        <m:r>
          <w:rPr>
            <w:rFonts w:ascii="Cambria Math" w:hAnsi="Cambria Math" w:cs="Times New Roman"/>
            <w:szCs w:val="24"/>
          </w:rPr>
          <m:t>+0.5</m:t>
        </m:r>
        <m:nary>
          <m:naryPr>
            <m:chr m:val="∑"/>
            <m:limLoc m:val="undOvr"/>
            <m:ctrlPr>
              <w:rPr>
                <w:rFonts w:ascii="Cambria Math" w:hAnsi="Cambria Math" w:cs="Times New Roman"/>
                <w:i/>
                <w:szCs w:val="24"/>
              </w:rPr>
            </m:ctrlPr>
          </m:naryPr>
          <m:sub>
            <m:r>
              <w:rPr>
                <w:rFonts w:ascii="Cambria Math" w:hAnsi="Cambria Math" w:cs="Times New Roman"/>
                <w:szCs w:val="24"/>
              </w:rPr>
              <m:t>j=1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j</m:t>
                </m:r>
              </m:sub>
            </m:sSub>
          </m:e>
        </m:nary>
      </m:oMath>
      <w:r w:rsidR="007B78A4" w:rsidRPr="00350B7A">
        <w:rPr>
          <w:rFonts w:ascii="Palatino Linotype" w:hAnsi="Palatino Linotype" w:cs="Times New Roman"/>
          <w:szCs w:val="24"/>
        </w:rPr>
        <w:tab/>
      </w:r>
      <w:r w:rsidR="007B78A4" w:rsidRPr="00350B7A">
        <w:rPr>
          <w:rFonts w:ascii="Palatino Linotype" w:hAnsi="Palatino Linotype" w:cs="Times New Roman"/>
          <w:szCs w:val="24"/>
        </w:rPr>
        <w:tab/>
      </w:r>
      <w:r w:rsidR="007B78A4" w:rsidRPr="00350B7A">
        <w:rPr>
          <w:rFonts w:ascii="Palatino Linotype" w:hAnsi="Palatino Linotype" w:cs="Times New Roman"/>
          <w:szCs w:val="24"/>
        </w:rPr>
        <w:tab/>
      </w:r>
      <w:r w:rsidR="007B78A4" w:rsidRPr="00350B7A">
        <w:rPr>
          <w:rFonts w:ascii="Palatino Linotype" w:hAnsi="Palatino Linotype" w:cs="Times New Roman"/>
          <w:szCs w:val="24"/>
        </w:rPr>
        <w:tab/>
      </w:r>
      <w:r w:rsidR="007B78A4" w:rsidRPr="00350B7A">
        <w:rPr>
          <w:rFonts w:ascii="Palatino Linotype" w:hAnsi="Palatino Linotype" w:cs="Times New Roman"/>
          <w:szCs w:val="24"/>
        </w:rPr>
        <w:tab/>
      </w:r>
      <w:r w:rsidR="007B78A4" w:rsidRPr="00350B7A">
        <w:rPr>
          <w:rFonts w:ascii="Palatino Linotype" w:hAnsi="Palatino Linotype" w:cs="Times New Roman"/>
          <w:szCs w:val="24"/>
        </w:rPr>
        <w:tab/>
      </w:r>
      <w:r w:rsidR="007B78A4" w:rsidRPr="00350B7A">
        <w:rPr>
          <w:rFonts w:ascii="Palatino Linotype" w:hAnsi="Palatino Linotype" w:cs="Times New Roman"/>
          <w:szCs w:val="24"/>
        </w:rPr>
        <w:tab/>
      </w:r>
      <w:r w:rsidR="007B78A4" w:rsidRPr="00350B7A">
        <w:rPr>
          <w:rFonts w:ascii="Palatino Linotype" w:hAnsi="Palatino Linotype" w:cs="Times New Roman"/>
          <w:szCs w:val="24"/>
        </w:rPr>
        <w:tab/>
        <w:t>(1)</w:t>
      </w:r>
    </w:p>
    <w:p w:rsidR="0048234A" w:rsidRPr="00350B7A" w:rsidRDefault="003E6536" w:rsidP="002D7C6E">
      <w:pPr>
        <w:pStyle w:val="Mdeck4text"/>
        <w:spacing w:line="240" w:lineRule="auto"/>
        <w:rPr>
          <w:rFonts w:ascii="Palatino Linotype" w:hAnsi="Palatino Linotype" w:cs="Times New Roman"/>
          <w:sz w:val="20"/>
          <w:szCs w:val="22"/>
        </w:rPr>
      </w:pPr>
      <w:r w:rsidRPr="00350B7A">
        <w:rPr>
          <w:rFonts w:ascii="Palatino Linotype" w:hAnsi="Palatino Linotype" w:cs="Times New Roman"/>
          <w:sz w:val="20"/>
          <w:szCs w:val="22"/>
        </w:rPr>
        <w:t>Where ci is the individual’s investment into the public good and cj is the investment made by each jth group member. The participants were informed that investments are made anonymously and cannot be identified.</w:t>
      </w:r>
    </w:p>
    <w:p w:rsidR="003E6536" w:rsidRPr="00350B7A" w:rsidRDefault="003E6536" w:rsidP="003E6536">
      <w:pPr>
        <w:pStyle w:val="MDPI21heading1"/>
      </w:pPr>
      <w:r w:rsidRPr="00350B7A">
        <w:t>3. Results</w:t>
      </w:r>
    </w:p>
    <w:p w:rsidR="002D7C6E" w:rsidRPr="00350B7A" w:rsidRDefault="003E6536" w:rsidP="003E6536">
      <w:pPr>
        <w:pStyle w:val="MDPI31text"/>
      </w:pPr>
      <w:r w:rsidRPr="00350B7A">
        <w:t>Out of the 140 participants 55 were female and 85 were male. Group sizes varied from 8 to 16 and the average contribution was around 50 cents, which led to an average payout of $3.41 with a minimum of $1.63 and a maximum of $5.1.</w:t>
      </w:r>
      <w:r w:rsidR="002B54B9" w:rsidRPr="00350B7A">
        <w:t xml:space="preserve"> </w:t>
      </w:r>
    </w:p>
    <w:p w:rsidR="003E6536" w:rsidRPr="00350B7A" w:rsidRDefault="00B00FED" w:rsidP="003E6536">
      <w:pPr>
        <w:pStyle w:val="MDPI31text"/>
      </w:pPr>
      <w:r w:rsidRPr="00350B7A">
        <w:t xml:space="preserve">Since the group sizes varied, while the marginal per capita return (MPCR) stayed constant, the gains from cooperation also </w:t>
      </w:r>
      <w:r w:rsidR="000067CE" w:rsidRPr="00350B7A">
        <w:t>change</w:t>
      </w:r>
      <w:r w:rsidRPr="00350B7A">
        <w:t xml:space="preserve">. </w:t>
      </w:r>
      <w:r w:rsidR="000067CE" w:rsidRPr="00350B7A">
        <w:t xml:space="preserve">This could influence the contribution decision of participants in different groups. </w:t>
      </w:r>
      <w:r w:rsidR="0024473E" w:rsidRPr="00350B7A">
        <w:t>R</w:t>
      </w:r>
      <w:r w:rsidR="002B54B9" w:rsidRPr="00350B7A">
        <w:t>esearch</w:t>
      </w:r>
      <w:r w:rsidR="0024473E" w:rsidRPr="00350B7A">
        <w:t xml:space="preserve"> by Isaac et al. </w:t>
      </w:r>
      <w:r w:rsidR="0024473E" w:rsidRPr="00350B7A">
        <w:fldChar w:fldCharType="begin"/>
      </w:r>
      <w:r w:rsidR="00631347" w:rsidRPr="00350B7A">
        <w:instrText xml:space="preserve"> ADDIN ZOTERO_ITEM CSL_CITATION {"citationID":"af4i4b7k0r","properties":{"formattedCitation":"[25]","plainCitation":"[25]"},"citationItems":[{"id":274,"uris":["http://zotero.org/users/4719949/items/R4CQ4TZE"],"uri":["http://zotero.org/users/4719949/items/R4CQ4TZE"],"itemData":{"id":274,"type":"article-journal","title":"Group size and the voluntary provision of public goods: Experimental evidence utilizing large groups","container-title":"Journal of Public Economics","page":"1-36","volume":"54","issue":"1","source":"ScienceDirect","abstract":"New experimental evidence extending the investigation of free-riding behavior in public goods provision is presented. Procedures are developed to deal with the logistical problems inherent in experiments involving many subjects. Data from Voluntary Contribution Mechanism experiments are reported utilizing group sizes of 4, 10, 40 and 100. THese experiments provide replicable results that contradict the widely held view that a group's ability to provide the optimal level of a pure public good is inversely related to group size. On the contrary, groups of size 40 and 100 provided the public good more efficiently than groups of size 4 and 10. Several possible alternative explanations are discussed.","DOI":"10.1016/0047-2727(94)90068-X","ISSN":"0047-2727","shortTitle":"Group size and the voluntary provision of public goods","journalAbbreviation":"Journal of Public Economics","author":[{"family":"Isaac","given":"R. Mark"},{"family":"Walker","given":"James M."},{"family":"Williams","given":"Arlington W."}],"issued":{"date-parts":[["1994",5,1]]}}}],"schema":"https://github.com/citation-style-language/schema/raw/master/csl-citation.json"} </w:instrText>
      </w:r>
      <w:r w:rsidR="0024473E" w:rsidRPr="00350B7A">
        <w:fldChar w:fldCharType="separate"/>
      </w:r>
      <w:r w:rsidR="00631347" w:rsidRPr="00350B7A">
        <w:t>[25]</w:t>
      </w:r>
      <w:r w:rsidR="0024473E" w:rsidRPr="00350B7A">
        <w:fldChar w:fldCharType="end"/>
      </w:r>
      <w:r w:rsidR="002B54B9" w:rsidRPr="00350B7A">
        <w:t xml:space="preserve"> found a difference in efficiency due to group size</w:t>
      </w:r>
      <w:r w:rsidR="0024473E" w:rsidRPr="00350B7A">
        <w:t xml:space="preserve"> at lower MPCR of 0.30 (i.e., for every unit amount invested, the public good produces 0.30 unit amounts), while at a MPCR of 0.70 no statistically significant difference was found. We find no significant differences between average contributions of participants in different groups. There are two explanations for this: (i) the MPCR in this experiment is 0.5 and hence too high to allow group size to be an important factor; (ii) </w:t>
      </w:r>
      <w:r w:rsidR="00E96C56" w:rsidRPr="00350B7A">
        <w:t xml:space="preserve">the effect of group size might not be an important factor in a one-shot game. Contributions in the first round in the study by Isaac et al. </w:t>
      </w:r>
      <w:r w:rsidR="00E96C56" w:rsidRPr="00350B7A">
        <w:fldChar w:fldCharType="begin"/>
      </w:r>
      <w:r w:rsidR="00631347" w:rsidRPr="00350B7A">
        <w:instrText xml:space="preserve"> ADDIN ZOTERO_ITEM CSL_CITATION {"citationID":"a26oatk1qsp","properties":{"formattedCitation":"[25]","plainCitation":"[25]"},"citationItems":[{"id":274,"uris":["http://zotero.org/users/4719949/items/R4CQ4TZE"],"uri":["http://zotero.org/users/4719949/items/R4CQ4TZE"],"itemData":{"id":274,"type":"article-journal","title":"Group size and the voluntary provision of public goods: Experimental evidence utilizing large groups","container-title":"Journal of Public Economics","page":"1-36","volume":"54","issue":"1","source":"ScienceDirect","abstract":"New experimental evidence extending the investigation of free-riding behavior in public goods provision is presented. Procedures are developed to deal with the logistical problems inherent in experiments involving many subjects. Data from Voluntary Contribution Mechanism experiments are reported utilizing group sizes of 4, 10, 40 and 100. THese experiments provide replicable results that contradict the widely held view that a group's ability to provide the optimal level of a pure public good is inversely related to group size. On the contrary, groups of size 40 and 100 provided the public good more efficiently than groups of size 4 and 10. Several possible alternative explanations are discussed.","DOI":"10.1016/0047-2727(94)90068-X","ISSN":"0047-2727","shortTitle":"Group size and the voluntary provision of public goods","journalAbbreviation":"Journal of Public Economics","author":[{"family":"Isaac","given":"R. Mark"},{"family":"Walker","given":"James M."},{"family":"Williams","given":"Arlington W."}],"issued":{"date-parts":[["1994",5,1]]}}}],"schema":"https://github.com/citation-style-language/schema/raw/master/csl-citation.json"} </w:instrText>
      </w:r>
      <w:r w:rsidR="00E96C56" w:rsidRPr="00350B7A">
        <w:fldChar w:fldCharType="separate"/>
      </w:r>
      <w:r w:rsidR="00631347" w:rsidRPr="00350B7A">
        <w:t>[25]</w:t>
      </w:r>
      <w:r w:rsidR="00E96C56" w:rsidRPr="00350B7A">
        <w:fldChar w:fldCharType="end"/>
      </w:r>
      <w:r w:rsidR="00E96C56" w:rsidRPr="00350B7A">
        <w:t xml:space="preserve"> are between 40% and 50% of the initial endowment for almost all group sizes (except for the smallest group size of 4). </w:t>
      </w:r>
      <w:r w:rsidR="008251D4" w:rsidRPr="00350B7A">
        <w:t>Similarly, we checked for correlation and interaction effects of group size and other important variables (specifically gender and rational ability) and found no statistically significant result.</w:t>
      </w:r>
      <w:r w:rsidR="00E96C56" w:rsidRPr="00350B7A">
        <w:t xml:space="preserve">  </w:t>
      </w:r>
      <w:r w:rsidR="0024473E" w:rsidRPr="00350B7A">
        <w:t xml:space="preserve"> </w:t>
      </w:r>
    </w:p>
    <w:p w:rsidR="003E6536" w:rsidRPr="00350B7A" w:rsidRDefault="003E6536" w:rsidP="003E6536">
      <w:pPr>
        <w:pStyle w:val="MDPI31text"/>
      </w:pPr>
      <w:r w:rsidRPr="00350B7A">
        <w:t xml:space="preserve">The important personality variable for the analysis of the behavior in the public goods game turns out to be rational ability as measured by the REI-40 </w:t>
      </w:r>
      <w:r w:rsidRPr="00350B7A">
        <w:fldChar w:fldCharType="begin"/>
      </w:r>
      <w:r w:rsidR="00631347" w:rsidRPr="00350B7A">
        <w:instrText xml:space="preserve"> ADDIN ZOTERO_ITEM CSL_CITATION {"citationID":"arevabrjqm","properties":{"formattedCitation":"[19]","plainCitation":"[19]"},"citationItems":[{"id":6,"uris":["http://zotero.org/users/4719949/items/T74ALKNL"],"uri":["http://zotero.org/users/4719949/items/T74ALKNL"],"itemData":{"id":6,"type":"article-journal","title":"The relation of rational and experiential information processing styles to personality, basic beliefs, and the ratio-bias phenomenon.","container-title":"Journal of personality and social psychology","page":"972","volume":"76","issue":"6","source":"Google Scholar","DOI":"https://doi.org/10.1037/0022-3514.76.6.972","author":[{"family":"Pacini","given":"Rosemary"},{"family":"Epstein","given":"Seymour"}],"issued":{"date-parts":[["1999"]]}}}],"schema":"https://github.com/citation-style-language/schema/raw/master/csl-citation.json"} </w:instrText>
      </w:r>
      <w:r w:rsidRPr="00350B7A">
        <w:fldChar w:fldCharType="separate"/>
      </w:r>
      <w:r w:rsidR="00631347" w:rsidRPr="00350B7A">
        <w:t>[19]</w:t>
      </w:r>
      <w:r w:rsidRPr="00350B7A">
        <w:fldChar w:fldCharType="end"/>
      </w:r>
      <w:r w:rsidRPr="00350B7A">
        <w:t xml:space="preserve">, where rational ability refers to having a high level of ability to think logically and analytically. Our sample value of an average 3.30 out of 5 for rational ability is lower than the value of 4.0 out of 5 found by Sladek et al. </w:t>
      </w:r>
      <w:r w:rsidRPr="00350B7A">
        <w:fldChar w:fldCharType="begin"/>
      </w:r>
      <w:r w:rsidR="00631347" w:rsidRPr="00350B7A">
        <w:instrText xml:space="preserve"> ADDIN ZOTERO_ITEM CSL_CITATION {"citationID":"a7817vbc1s","properties":{"formattedCitation":"[26]","plainCitation":"[26]"},"citationItems":[{"id":4,"uris":["http://zotero.org/users/4719949/items/WIRUUWTW"],"uri":["http://zotero.org/users/4719949/items/WIRUUWTW"],"itemData":{"id":4,"type":"article-journal","title":"Age and gender differences in preferences for rational and experiential thinking","container-title":"Personality and Individual Differences","page":"907–911","volume":"49","issue":"8","source":"Google Scholar","DOI":"https://doi.org/10.1016/j.paid.2010.07.028","author":[{"family":"Sladek","given":"Ruth M."},{"family":"Bond","given":"Malcolm J."},{"family":"Phillips","given":"Paddy A."}],"issued":{"date-parts":[["2010"]]}}}],"schema":"https://github.com/citation-style-language/schema/raw/master/csl-citation.json"} </w:instrText>
      </w:r>
      <w:r w:rsidRPr="00350B7A">
        <w:fldChar w:fldCharType="separate"/>
      </w:r>
      <w:r w:rsidR="00631347" w:rsidRPr="00350B7A">
        <w:t>[26]</w:t>
      </w:r>
      <w:r w:rsidRPr="00350B7A">
        <w:fldChar w:fldCharType="end"/>
      </w:r>
      <w:r w:rsidRPr="00350B7A">
        <w:t xml:space="preserve">, but close to the value of 3.39 for American College Students found by Calder et al. </w:t>
      </w:r>
      <w:r w:rsidRPr="00350B7A">
        <w:fldChar w:fldCharType="begin"/>
      </w:r>
      <w:r w:rsidR="00631347" w:rsidRPr="00350B7A">
        <w:instrText xml:space="preserve"> ADDIN ZOTERO_ITEM CSL_CITATION {"citationID":"a2hlp206s5g","properties":{"formattedCitation":"[27]","plainCitation":"[27]"},"citationItems":[{"id":26,"uris":["http://zotero.org/users/4719949/items/SB4EEDJC"],"uri":["http://zotero.org/users/4719949/items/SB4EEDJC"],"itemData":{"id":26,"type":"article-journal","title":"Experiential and rational decision making: a survey to determine how emergency physicians make clinical decisions","container-title":"Emerg Med J","page":"emermed–2011","source":"Google Scholar","shortTitle":"Experiential and rational decision making","author":[{"family":"Calder","given":"Lisa A."},{"family":"Forster","given":"Alan J."},{"family":"Stiell","given":"Ian G."},{"family":"Carr","given":"Laura K."},{"family":"Brehaut","given":"Jamie C."},{"family":"Perry","given":"Jeffrey J."},{"family":"Vaillancourt","given":"Christian"},{"family":"Croskerry","given":"Patrick"}],"issued":{"date-parts":[["2011"]]}}}],"schema":"https://github.com/citation-style-language/schema/raw/master/csl-citation.json"} </w:instrText>
      </w:r>
      <w:r w:rsidRPr="00350B7A">
        <w:fldChar w:fldCharType="separate"/>
      </w:r>
      <w:r w:rsidR="00631347" w:rsidRPr="00350B7A">
        <w:t>[27]</w:t>
      </w:r>
      <w:r w:rsidRPr="00350B7A">
        <w:fldChar w:fldCharType="end"/>
      </w:r>
      <w:r w:rsidRPr="00350B7A">
        <w:t>.</w:t>
      </w:r>
    </w:p>
    <w:p w:rsidR="003E6536" w:rsidRPr="00350B7A" w:rsidRDefault="003E6536" w:rsidP="003E6536">
      <w:pPr>
        <w:pStyle w:val="MDPI31text"/>
      </w:pPr>
      <w:r w:rsidRPr="00350B7A">
        <w:t>Table 1 gives a summary statistics of the important variables</w:t>
      </w:r>
      <w:r w:rsidR="007F7652" w:rsidRPr="00350B7A">
        <w:t>.</w:t>
      </w:r>
    </w:p>
    <w:p w:rsidR="003E6536" w:rsidRPr="00350B7A" w:rsidRDefault="003E6536" w:rsidP="003E6536">
      <w:pPr>
        <w:pStyle w:val="MDPI41tablecaption"/>
        <w:jc w:val="center"/>
      </w:pPr>
      <w:r w:rsidRPr="00350B7A">
        <w:rPr>
          <w:b/>
        </w:rPr>
        <w:t>Table 1.</w:t>
      </w:r>
      <w:r w:rsidRPr="00350B7A">
        <w:t xml:space="preserve"> Summary Statistics</w:t>
      </w:r>
    </w:p>
    <w:tbl>
      <w:tblPr>
        <w:tblW w:w="3559" w:type="pct"/>
        <w:jc w:val="center"/>
        <w:tblLook w:val="04A0" w:firstRow="1" w:lastRow="0" w:firstColumn="1" w:lastColumn="0" w:noHBand="0" w:noVBand="1"/>
      </w:tblPr>
      <w:tblGrid>
        <w:gridCol w:w="3749"/>
        <w:gridCol w:w="1608"/>
        <w:gridCol w:w="938"/>
      </w:tblGrid>
      <w:tr w:rsidR="003E6536" w:rsidRPr="00350B7A" w:rsidTr="003E6536">
        <w:trPr>
          <w:trHeight w:val="252"/>
          <w:jc w:val="center"/>
        </w:trPr>
        <w:tc>
          <w:tcPr>
            <w:tcW w:w="2978" w:type="pct"/>
            <w:tcBorders>
              <w:top w:val="single" w:sz="12" w:space="0" w:color="auto"/>
              <w:bottom w:val="single" w:sz="4" w:space="0" w:color="auto"/>
            </w:tcBorders>
          </w:tcPr>
          <w:p w:rsidR="003E6536" w:rsidRPr="00350B7A" w:rsidRDefault="003E6536" w:rsidP="00E65743">
            <w:pPr>
              <w:pStyle w:val="TableText"/>
              <w:rPr>
                <w:rFonts w:cs="Times New Roman"/>
                <w:b/>
                <w:sz w:val="20"/>
                <w:szCs w:val="20"/>
              </w:rPr>
            </w:pPr>
            <w:r w:rsidRPr="00350B7A">
              <w:rPr>
                <w:rFonts w:cs="Times New Roman"/>
                <w:b/>
                <w:sz w:val="20"/>
                <w:szCs w:val="20"/>
              </w:rPr>
              <w:t>Variable</w:t>
            </w:r>
          </w:p>
        </w:tc>
        <w:tc>
          <w:tcPr>
            <w:tcW w:w="1277" w:type="pct"/>
            <w:tcBorders>
              <w:top w:val="single" w:sz="12" w:space="0" w:color="auto"/>
              <w:bottom w:val="single" w:sz="4" w:space="0" w:color="auto"/>
            </w:tcBorders>
          </w:tcPr>
          <w:p w:rsidR="003E6536" w:rsidRPr="00350B7A" w:rsidRDefault="003E6536" w:rsidP="00E65743">
            <w:pPr>
              <w:pStyle w:val="TableText"/>
              <w:rPr>
                <w:rFonts w:cs="Times New Roman"/>
                <w:b/>
                <w:sz w:val="20"/>
                <w:szCs w:val="20"/>
              </w:rPr>
            </w:pPr>
            <w:r w:rsidRPr="00350B7A">
              <w:rPr>
                <w:rFonts w:cs="Times New Roman"/>
                <w:b/>
                <w:sz w:val="20"/>
                <w:szCs w:val="20"/>
              </w:rPr>
              <w:t>Median/Mean</w:t>
            </w:r>
          </w:p>
        </w:tc>
        <w:tc>
          <w:tcPr>
            <w:tcW w:w="745" w:type="pct"/>
            <w:tcBorders>
              <w:top w:val="single" w:sz="12" w:space="0" w:color="auto"/>
              <w:bottom w:val="single" w:sz="4" w:space="0" w:color="auto"/>
            </w:tcBorders>
          </w:tcPr>
          <w:p w:rsidR="003E6536" w:rsidRPr="00350B7A" w:rsidRDefault="003E6536" w:rsidP="00E65743">
            <w:pPr>
              <w:pStyle w:val="TableText"/>
              <w:rPr>
                <w:rFonts w:cs="Times New Roman"/>
                <w:b/>
                <w:sz w:val="20"/>
                <w:szCs w:val="20"/>
              </w:rPr>
            </w:pPr>
            <w:r w:rsidRPr="00350B7A">
              <w:rPr>
                <w:rFonts w:cs="Times New Roman"/>
                <w:b/>
                <w:sz w:val="20"/>
                <w:szCs w:val="20"/>
              </w:rPr>
              <w:t>S.D.</w:t>
            </w:r>
          </w:p>
        </w:tc>
      </w:tr>
      <w:tr w:rsidR="003E6536" w:rsidRPr="00350B7A" w:rsidTr="003E6536">
        <w:trPr>
          <w:trHeight w:val="252"/>
          <w:jc w:val="center"/>
        </w:trPr>
        <w:tc>
          <w:tcPr>
            <w:tcW w:w="2978" w:type="pct"/>
            <w:tcBorders>
              <w:top w:val="single" w:sz="4" w:space="0" w:color="auto"/>
            </w:tcBorders>
          </w:tcPr>
          <w:p w:rsidR="003E6536" w:rsidRPr="00350B7A" w:rsidRDefault="003E6536" w:rsidP="00E65743">
            <w:pPr>
              <w:pStyle w:val="TableText"/>
              <w:jc w:val="left"/>
              <w:rPr>
                <w:rFonts w:cs="Times New Roman"/>
                <w:b/>
                <w:sz w:val="20"/>
                <w:szCs w:val="20"/>
              </w:rPr>
            </w:pPr>
            <w:r w:rsidRPr="00350B7A">
              <w:rPr>
                <w:rFonts w:cs="Times New Roman"/>
                <w:b/>
                <w:sz w:val="20"/>
                <w:szCs w:val="20"/>
              </w:rPr>
              <w:t>Age</w:t>
            </w:r>
          </w:p>
        </w:tc>
        <w:tc>
          <w:tcPr>
            <w:tcW w:w="1277" w:type="pct"/>
            <w:tcBorders>
              <w:top w:val="single" w:sz="4" w:space="0" w:color="auto"/>
            </w:tcBorders>
          </w:tcPr>
          <w:p w:rsidR="003E6536" w:rsidRPr="00350B7A" w:rsidRDefault="003E6536" w:rsidP="00E65743">
            <w:pPr>
              <w:pStyle w:val="TableText"/>
              <w:rPr>
                <w:rFonts w:cs="Times New Roman"/>
                <w:sz w:val="20"/>
                <w:szCs w:val="20"/>
              </w:rPr>
            </w:pPr>
            <w:r w:rsidRPr="00350B7A">
              <w:rPr>
                <w:rFonts w:cs="Times New Roman"/>
                <w:sz w:val="20"/>
                <w:szCs w:val="20"/>
              </w:rPr>
              <w:t xml:space="preserve">22 / 21.5 </w:t>
            </w:r>
          </w:p>
        </w:tc>
        <w:tc>
          <w:tcPr>
            <w:tcW w:w="745" w:type="pct"/>
            <w:tcBorders>
              <w:top w:val="single" w:sz="4" w:space="0" w:color="auto"/>
            </w:tcBorders>
          </w:tcPr>
          <w:p w:rsidR="003E6536" w:rsidRPr="00350B7A" w:rsidRDefault="003E6536" w:rsidP="00E65743">
            <w:pPr>
              <w:pStyle w:val="TableText"/>
              <w:rPr>
                <w:rFonts w:cs="Times New Roman"/>
                <w:sz w:val="20"/>
                <w:szCs w:val="20"/>
              </w:rPr>
            </w:pPr>
            <w:r w:rsidRPr="00350B7A">
              <w:rPr>
                <w:rFonts w:cs="Times New Roman"/>
                <w:sz w:val="20"/>
                <w:szCs w:val="20"/>
              </w:rPr>
              <w:t>2.07</w:t>
            </w:r>
          </w:p>
        </w:tc>
      </w:tr>
      <w:tr w:rsidR="003E6536" w:rsidRPr="00350B7A" w:rsidTr="003E6536">
        <w:trPr>
          <w:trHeight w:val="252"/>
          <w:jc w:val="center"/>
        </w:trPr>
        <w:tc>
          <w:tcPr>
            <w:tcW w:w="2978" w:type="pct"/>
          </w:tcPr>
          <w:p w:rsidR="003E6536" w:rsidRPr="00350B7A" w:rsidRDefault="003E6536" w:rsidP="00E65743">
            <w:pPr>
              <w:pStyle w:val="TableText"/>
              <w:jc w:val="left"/>
              <w:rPr>
                <w:rFonts w:cs="Times New Roman"/>
                <w:b/>
                <w:iCs/>
                <w:sz w:val="20"/>
                <w:szCs w:val="20"/>
              </w:rPr>
            </w:pPr>
            <w:r w:rsidRPr="00350B7A">
              <w:rPr>
                <w:rFonts w:cs="Times New Roman"/>
                <w:b/>
                <w:iCs/>
                <w:sz w:val="20"/>
                <w:szCs w:val="20"/>
              </w:rPr>
              <w:t>Group size</w:t>
            </w:r>
          </w:p>
        </w:tc>
        <w:tc>
          <w:tcPr>
            <w:tcW w:w="1277" w:type="pct"/>
          </w:tcPr>
          <w:p w:rsidR="003E6536" w:rsidRPr="00350B7A" w:rsidRDefault="003E6536" w:rsidP="00E65743">
            <w:pPr>
              <w:pStyle w:val="TableText"/>
              <w:rPr>
                <w:rFonts w:cs="Times New Roman"/>
                <w:sz w:val="20"/>
                <w:szCs w:val="20"/>
              </w:rPr>
            </w:pPr>
            <w:r w:rsidRPr="00350B7A">
              <w:rPr>
                <w:rFonts w:cs="Times New Roman"/>
                <w:sz w:val="20"/>
                <w:szCs w:val="20"/>
              </w:rPr>
              <w:t>10 / 11.4</w:t>
            </w:r>
          </w:p>
        </w:tc>
        <w:tc>
          <w:tcPr>
            <w:tcW w:w="745" w:type="pct"/>
          </w:tcPr>
          <w:p w:rsidR="003E6536" w:rsidRPr="00350B7A" w:rsidRDefault="003E6536" w:rsidP="00E65743">
            <w:pPr>
              <w:pStyle w:val="TableText"/>
              <w:rPr>
                <w:rFonts w:cs="Times New Roman"/>
                <w:sz w:val="20"/>
                <w:szCs w:val="20"/>
              </w:rPr>
            </w:pPr>
            <w:r w:rsidRPr="00350B7A">
              <w:rPr>
                <w:rFonts w:cs="Times New Roman"/>
                <w:sz w:val="20"/>
                <w:szCs w:val="20"/>
              </w:rPr>
              <w:t>2.66</w:t>
            </w:r>
          </w:p>
        </w:tc>
      </w:tr>
      <w:tr w:rsidR="003E6536" w:rsidRPr="00350B7A" w:rsidTr="003E6536">
        <w:trPr>
          <w:trHeight w:val="252"/>
          <w:jc w:val="center"/>
        </w:trPr>
        <w:tc>
          <w:tcPr>
            <w:tcW w:w="2978" w:type="pct"/>
          </w:tcPr>
          <w:p w:rsidR="003E6536" w:rsidRPr="00350B7A" w:rsidRDefault="003E6536" w:rsidP="00E65743">
            <w:pPr>
              <w:pStyle w:val="TableText"/>
              <w:jc w:val="left"/>
              <w:rPr>
                <w:rFonts w:cs="Times New Roman"/>
                <w:b/>
                <w:iCs/>
                <w:sz w:val="20"/>
                <w:szCs w:val="20"/>
              </w:rPr>
            </w:pPr>
            <w:r w:rsidRPr="00350B7A">
              <w:rPr>
                <w:rFonts w:cs="Times New Roman"/>
                <w:b/>
                <w:iCs/>
                <w:sz w:val="20"/>
                <w:szCs w:val="20"/>
              </w:rPr>
              <w:t>Public Good Outcome</w:t>
            </w:r>
          </w:p>
        </w:tc>
        <w:tc>
          <w:tcPr>
            <w:tcW w:w="1277" w:type="pct"/>
          </w:tcPr>
          <w:p w:rsidR="003E6536" w:rsidRPr="00350B7A" w:rsidRDefault="003E6536" w:rsidP="00E65743">
            <w:pPr>
              <w:pStyle w:val="TableText"/>
              <w:rPr>
                <w:rFonts w:cs="Times New Roman"/>
                <w:sz w:val="20"/>
                <w:szCs w:val="20"/>
              </w:rPr>
            </w:pPr>
            <w:r w:rsidRPr="00350B7A">
              <w:rPr>
                <w:rFonts w:cs="Times New Roman"/>
                <w:sz w:val="20"/>
                <w:szCs w:val="20"/>
              </w:rPr>
              <w:t>3.4 / 3.41</w:t>
            </w:r>
          </w:p>
        </w:tc>
        <w:tc>
          <w:tcPr>
            <w:tcW w:w="745" w:type="pct"/>
          </w:tcPr>
          <w:p w:rsidR="003E6536" w:rsidRPr="00350B7A" w:rsidRDefault="003E6536" w:rsidP="00E65743">
            <w:pPr>
              <w:pStyle w:val="TableText"/>
              <w:rPr>
                <w:rFonts w:cs="Times New Roman"/>
                <w:sz w:val="20"/>
                <w:szCs w:val="20"/>
              </w:rPr>
            </w:pPr>
            <w:r w:rsidRPr="00350B7A">
              <w:rPr>
                <w:rFonts w:cs="Times New Roman"/>
                <w:sz w:val="20"/>
                <w:szCs w:val="20"/>
              </w:rPr>
              <w:t>0.827</w:t>
            </w:r>
          </w:p>
        </w:tc>
      </w:tr>
      <w:tr w:rsidR="003E6536" w:rsidRPr="00350B7A" w:rsidTr="003E6536">
        <w:trPr>
          <w:trHeight w:val="252"/>
          <w:jc w:val="center"/>
        </w:trPr>
        <w:tc>
          <w:tcPr>
            <w:tcW w:w="2978" w:type="pct"/>
          </w:tcPr>
          <w:p w:rsidR="003E6536" w:rsidRPr="00350B7A" w:rsidRDefault="003E6536" w:rsidP="00E65743">
            <w:pPr>
              <w:pStyle w:val="TableText"/>
              <w:jc w:val="left"/>
              <w:rPr>
                <w:rFonts w:cs="Times New Roman"/>
                <w:b/>
                <w:iCs/>
                <w:sz w:val="20"/>
                <w:szCs w:val="20"/>
              </w:rPr>
            </w:pPr>
            <w:r w:rsidRPr="00350B7A">
              <w:rPr>
                <w:rFonts w:cs="Times New Roman"/>
                <w:b/>
                <w:iCs/>
                <w:sz w:val="20"/>
                <w:szCs w:val="20"/>
              </w:rPr>
              <w:t>Public Good Contribution</w:t>
            </w:r>
          </w:p>
        </w:tc>
        <w:tc>
          <w:tcPr>
            <w:tcW w:w="1277" w:type="pct"/>
          </w:tcPr>
          <w:p w:rsidR="003E6536" w:rsidRPr="00350B7A" w:rsidRDefault="003E6536" w:rsidP="00E65743">
            <w:pPr>
              <w:pStyle w:val="TableText"/>
              <w:rPr>
                <w:rFonts w:cs="Times New Roman"/>
                <w:sz w:val="20"/>
                <w:szCs w:val="20"/>
              </w:rPr>
            </w:pPr>
          </w:p>
        </w:tc>
        <w:tc>
          <w:tcPr>
            <w:tcW w:w="745" w:type="pct"/>
          </w:tcPr>
          <w:p w:rsidR="003E6536" w:rsidRPr="00350B7A" w:rsidRDefault="003E6536" w:rsidP="00E65743">
            <w:pPr>
              <w:pStyle w:val="TableText"/>
              <w:rPr>
                <w:rFonts w:cs="Times New Roman"/>
                <w:sz w:val="20"/>
                <w:szCs w:val="20"/>
              </w:rPr>
            </w:pPr>
          </w:p>
        </w:tc>
      </w:tr>
      <w:tr w:rsidR="003E6536" w:rsidRPr="00350B7A" w:rsidTr="003E6536">
        <w:trPr>
          <w:trHeight w:val="252"/>
          <w:jc w:val="center"/>
        </w:trPr>
        <w:tc>
          <w:tcPr>
            <w:tcW w:w="2978" w:type="pct"/>
          </w:tcPr>
          <w:p w:rsidR="003E6536" w:rsidRPr="00350B7A" w:rsidRDefault="003E6536" w:rsidP="003E6536">
            <w:pPr>
              <w:pStyle w:val="TableText"/>
              <w:numPr>
                <w:ilvl w:val="0"/>
                <w:numId w:val="50"/>
              </w:numPr>
              <w:ind w:firstLine="0"/>
              <w:jc w:val="left"/>
              <w:rPr>
                <w:rFonts w:cs="Times New Roman"/>
                <w:b/>
                <w:iCs/>
                <w:sz w:val="20"/>
                <w:szCs w:val="20"/>
              </w:rPr>
            </w:pPr>
            <w:r w:rsidRPr="00350B7A">
              <w:rPr>
                <w:rFonts w:cs="Times New Roman"/>
                <w:sz w:val="20"/>
                <w:szCs w:val="20"/>
              </w:rPr>
              <w:t>for all participants (N=140)</w:t>
            </w:r>
          </w:p>
        </w:tc>
        <w:tc>
          <w:tcPr>
            <w:tcW w:w="1277" w:type="pct"/>
          </w:tcPr>
          <w:p w:rsidR="003E6536" w:rsidRPr="00350B7A" w:rsidRDefault="003E6536" w:rsidP="00E65743">
            <w:pPr>
              <w:pStyle w:val="TableText"/>
              <w:rPr>
                <w:rFonts w:cs="Times New Roman"/>
                <w:sz w:val="20"/>
                <w:szCs w:val="20"/>
              </w:rPr>
            </w:pPr>
            <w:r w:rsidRPr="00350B7A">
              <w:rPr>
                <w:rFonts w:cs="Times New Roman"/>
                <w:sz w:val="20"/>
                <w:szCs w:val="20"/>
              </w:rPr>
              <w:t>0.5 / 0.502</w:t>
            </w:r>
          </w:p>
        </w:tc>
        <w:tc>
          <w:tcPr>
            <w:tcW w:w="745" w:type="pct"/>
          </w:tcPr>
          <w:p w:rsidR="003E6536" w:rsidRPr="00350B7A" w:rsidRDefault="003E6536" w:rsidP="00E65743">
            <w:pPr>
              <w:pStyle w:val="TableText"/>
              <w:rPr>
                <w:rFonts w:cs="Times New Roman"/>
                <w:sz w:val="20"/>
                <w:szCs w:val="20"/>
              </w:rPr>
            </w:pPr>
            <w:r w:rsidRPr="00350B7A">
              <w:rPr>
                <w:rFonts w:cs="Times New Roman"/>
                <w:sz w:val="20"/>
                <w:szCs w:val="20"/>
              </w:rPr>
              <w:t>0.392</w:t>
            </w:r>
          </w:p>
        </w:tc>
      </w:tr>
      <w:tr w:rsidR="003E6536" w:rsidRPr="00350B7A" w:rsidTr="003E6536">
        <w:trPr>
          <w:trHeight w:val="252"/>
          <w:jc w:val="center"/>
        </w:trPr>
        <w:tc>
          <w:tcPr>
            <w:tcW w:w="2978" w:type="pct"/>
          </w:tcPr>
          <w:p w:rsidR="003E6536" w:rsidRPr="00350B7A" w:rsidRDefault="003E6536" w:rsidP="003E6536">
            <w:pPr>
              <w:pStyle w:val="TableText"/>
              <w:numPr>
                <w:ilvl w:val="0"/>
                <w:numId w:val="50"/>
              </w:numPr>
              <w:ind w:firstLine="0"/>
              <w:jc w:val="left"/>
              <w:rPr>
                <w:rFonts w:cs="Times New Roman"/>
                <w:b/>
                <w:iCs/>
                <w:sz w:val="20"/>
                <w:szCs w:val="20"/>
              </w:rPr>
            </w:pPr>
            <w:r w:rsidRPr="00350B7A">
              <w:rPr>
                <w:rFonts w:cs="Times New Roman"/>
                <w:sz w:val="20"/>
                <w:szCs w:val="20"/>
              </w:rPr>
              <w:t>for all males (N=85)</w:t>
            </w:r>
          </w:p>
        </w:tc>
        <w:tc>
          <w:tcPr>
            <w:tcW w:w="1277" w:type="pct"/>
          </w:tcPr>
          <w:p w:rsidR="003E6536" w:rsidRPr="00350B7A" w:rsidRDefault="003E6536" w:rsidP="00E65743">
            <w:pPr>
              <w:pStyle w:val="TableText"/>
              <w:rPr>
                <w:rFonts w:cs="Times New Roman"/>
                <w:sz w:val="20"/>
                <w:szCs w:val="20"/>
              </w:rPr>
            </w:pPr>
            <w:r w:rsidRPr="00350B7A">
              <w:rPr>
                <w:rFonts w:cs="Times New Roman"/>
                <w:sz w:val="20"/>
                <w:szCs w:val="20"/>
              </w:rPr>
              <w:t>0.5 / 0.517</w:t>
            </w:r>
          </w:p>
        </w:tc>
        <w:tc>
          <w:tcPr>
            <w:tcW w:w="745" w:type="pct"/>
          </w:tcPr>
          <w:p w:rsidR="003E6536" w:rsidRPr="00350B7A" w:rsidRDefault="003E6536" w:rsidP="00E65743">
            <w:pPr>
              <w:pStyle w:val="TableText"/>
              <w:rPr>
                <w:rFonts w:cs="Times New Roman"/>
                <w:sz w:val="20"/>
                <w:szCs w:val="20"/>
              </w:rPr>
            </w:pPr>
            <w:r w:rsidRPr="00350B7A">
              <w:rPr>
                <w:rFonts w:cs="Times New Roman"/>
                <w:sz w:val="20"/>
                <w:szCs w:val="20"/>
              </w:rPr>
              <w:t>0.429</w:t>
            </w:r>
          </w:p>
        </w:tc>
      </w:tr>
      <w:tr w:rsidR="003E6536" w:rsidRPr="00350B7A" w:rsidTr="003E6536">
        <w:trPr>
          <w:trHeight w:val="252"/>
          <w:jc w:val="center"/>
        </w:trPr>
        <w:tc>
          <w:tcPr>
            <w:tcW w:w="2978" w:type="pct"/>
          </w:tcPr>
          <w:p w:rsidR="003E6536" w:rsidRPr="00350B7A" w:rsidRDefault="003E6536" w:rsidP="003E6536">
            <w:pPr>
              <w:pStyle w:val="TableText"/>
              <w:numPr>
                <w:ilvl w:val="0"/>
                <w:numId w:val="50"/>
              </w:numPr>
              <w:ind w:firstLine="0"/>
              <w:jc w:val="left"/>
              <w:rPr>
                <w:rFonts w:cs="Times New Roman"/>
                <w:b/>
                <w:iCs/>
                <w:sz w:val="20"/>
                <w:szCs w:val="20"/>
              </w:rPr>
            </w:pPr>
            <w:r w:rsidRPr="00350B7A">
              <w:rPr>
                <w:rFonts w:cs="Times New Roman"/>
                <w:sz w:val="20"/>
                <w:szCs w:val="20"/>
              </w:rPr>
              <w:t>for all females (N=55)</w:t>
            </w:r>
          </w:p>
        </w:tc>
        <w:tc>
          <w:tcPr>
            <w:tcW w:w="1277" w:type="pct"/>
          </w:tcPr>
          <w:p w:rsidR="003E6536" w:rsidRPr="00350B7A" w:rsidRDefault="003E6536" w:rsidP="00E65743">
            <w:pPr>
              <w:pStyle w:val="TableText"/>
              <w:rPr>
                <w:rFonts w:cs="Times New Roman"/>
                <w:sz w:val="20"/>
                <w:szCs w:val="20"/>
              </w:rPr>
            </w:pPr>
            <w:r w:rsidRPr="00350B7A">
              <w:rPr>
                <w:rFonts w:cs="Times New Roman"/>
                <w:sz w:val="20"/>
                <w:szCs w:val="20"/>
              </w:rPr>
              <w:t>0.5 / 0.478</w:t>
            </w:r>
          </w:p>
        </w:tc>
        <w:tc>
          <w:tcPr>
            <w:tcW w:w="745" w:type="pct"/>
          </w:tcPr>
          <w:p w:rsidR="003E6536" w:rsidRPr="00350B7A" w:rsidRDefault="003E6536" w:rsidP="00E65743">
            <w:pPr>
              <w:pStyle w:val="TableText"/>
              <w:rPr>
                <w:rFonts w:cs="Times New Roman"/>
                <w:sz w:val="20"/>
                <w:szCs w:val="20"/>
              </w:rPr>
            </w:pPr>
            <w:r w:rsidRPr="00350B7A">
              <w:rPr>
                <w:rFonts w:cs="Times New Roman"/>
                <w:sz w:val="20"/>
                <w:szCs w:val="20"/>
              </w:rPr>
              <w:t>0.329</w:t>
            </w:r>
          </w:p>
        </w:tc>
      </w:tr>
      <w:tr w:rsidR="007F7652" w:rsidRPr="00350B7A" w:rsidTr="003E6536">
        <w:trPr>
          <w:trHeight w:val="252"/>
          <w:jc w:val="center"/>
        </w:trPr>
        <w:tc>
          <w:tcPr>
            <w:tcW w:w="2978" w:type="pct"/>
          </w:tcPr>
          <w:p w:rsidR="007F7652" w:rsidRPr="00350B7A" w:rsidRDefault="007F7652" w:rsidP="003E6536">
            <w:pPr>
              <w:pStyle w:val="TableText"/>
              <w:numPr>
                <w:ilvl w:val="0"/>
                <w:numId w:val="50"/>
              </w:numPr>
              <w:ind w:firstLine="0"/>
              <w:jc w:val="left"/>
              <w:rPr>
                <w:rFonts w:cs="Times New Roman"/>
                <w:sz w:val="20"/>
                <w:szCs w:val="20"/>
              </w:rPr>
            </w:pPr>
            <w:r w:rsidRPr="00350B7A">
              <w:rPr>
                <w:rFonts w:cs="Times New Roman"/>
                <w:sz w:val="20"/>
                <w:szCs w:val="20"/>
              </w:rPr>
              <w:t>for group size = 8 (N=32)</w:t>
            </w:r>
          </w:p>
        </w:tc>
        <w:tc>
          <w:tcPr>
            <w:tcW w:w="1277" w:type="pct"/>
          </w:tcPr>
          <w:p w:rsidR="007F7652" w:rsidRPr="00350B7A" w:rsidRDefault="007F7652" w:rsidP="00E65743">
            <w:pPr>
              <w:pStyle w:val="TableText"/>
              <w:rPr>
                <w:rFonts w:cs="Times New Roman"/>
                <w:sz w:val="20"/>
                <w:szCs w:val="20"/>
              </w:rPr>
            </w:pPr>
            <w:r w:rsidRPr="00350B7A">
              <w:rPr>
                <w:rFonts w:cs="Times New Roman"/>
                <w:sz w:val="20"/>
                <w:szCs w:val="20"/>
              </w:rPr>
              <w:t>0.5 / 0.495</w:t>
            </w:r>
          </w:p>
        </w:tc>
        <w:tc>
          <w:tcPr>
            <w:tcW w:w="745" w:type="pct"/>
          </w:tcPr>
          <w:p w:rsidR="007F7652" w:rsidRPr="00350B7A" w:rsidRDefault="007F7652" w:rsidP="00E65743">
            <w:pPr>
              <w:pStyle w:val="TableText"/>
              <w:rPr>
                <w:rFonts w:cs="Times New Roman"/>
                <w:sz w:val="20"/>
                <w:szCs w:val="20"/>
              </w:rPr>
            </w:pPr>
            <w:r w:rsidRPr="00350B7A">
              <w:rPr>
                <w:rFonts w:cs="Times New Roman"/>
                <w:sz w:val="20"/>
                <w:szCs w:val="20"/>
              </w:rPr>
              <w:t>0.400</w:t>
            </w:r>
          </w:p>
        </w:tc>
      </w:tr>
      <w:tr w:rsidR="007F7652" w:rsidRPr="00350B7A" w:rsidTr="003E6536">
        <w:trPr>
          <w:trHeight w:val="252"/>
          <w:jc w:val="center"/>
        </w:trPr>
        <w:tc>
          <w:tcPr>
            <w:tcW w:w="2978" w:type="pct"/>
          </w:tcPr>
          <w:p w:rsidR="007F7652" w:rsidRPr="00350B7A" w:rsidRDefault="007F7652" w:rsidP="003E6536">
            <w:pPr>
              <w:pStyle w:val="TableText"/>
              <w:numPr>
                <w:ilvl w:val="0"/>
                <w:numId w:val="50"/>
              </w:numPr>
              <w:ind w:firstLine="0"/>
              <w:jc w:val="left"/>
              <w:rPr>
                <w:rFonts w:cs="Times New Roman"/>
                <w:sz w:val="20"/>
                <w:szCs w:val="20"/>
              </w:rPr>
            </w:pPr>
            <w:r w:rsidRPr="00350B7A">
              <w:rPr>
                <w:rFonts w:cs="Times New Roman"/>
                <w:sz w:val="20"/>
                <w:szCs w:val="20"/>
              </w:rPr>
              <w:t>for group size = 10 (N=40)</w:t>
            </w:r>
          </w:p>
        </w:tc>
        <w:tc>
          <w:tcPr>
            <w:tcW w:w="1277" w:type="pct"/>
          </w:tcPr>
          <w:p w:rsidR="007F7652" w:rsidRPr="00350B7A" w:rsidRDefault="007F7652" w:rsidP="00E65743">
            <w:pPr>
              <w:pStyle w:val="TableText"/>
              <w:rPr>
                <w:rFonts w:cs="Times New Roman"/>
                <w:sz w:val="20"/>
                <w:szCs w:val="20"/>
              </w:rPr>
            </w:pPr>
            <w:r w:rsidRPr="00350B7A">
              <w:rPr>
                <w:rFonts w:cs="Times New Roman"/>
                <w:sz w:val="20"/>
                <w:szCs w:val="20"/>
              </w:rPr>
              <w:t>0.5 / 0.498</w:t>
            </w:r>
          </w:p>
        </w:tc>
        <w:tc>
          <w:tcPr>
            <w:tcW w:w="745" w:type="pct"/>
          </w:tcPr>
          <w:p w:rsidR="007F7652" w:rsidRPr="00350B7A" w:rsidRDefault="007F7652" w:rsidP="00E65743">
            <w:pPr>
              <w:pStyle w:val="TableText"/>
              <w:rPr>
                <w:rFonts w:cs="Times New Roman"/>
                <w:sz w:val="20"/>
                <w:szCs w:val="20"/>
              </w:rPr>
            </w:pPr>
            <w:r w:rsidRPr="00350B7A">
              <w:rPr>
                <w:rFonts w:cs="Times New Roman"/>
                <w:sz w:val="20"/>
                <w:szCs w:val="20"/>
              </w:rPr>
              <w:t>0.388</w:t>
            </w:r>
          </w:p>
        </w:tc>
      </w:tr>
      <w:tr w:rsidR="007F7652" w:rsidRPr="00350B7A" w:rsidTr="003E6536">
        <w:trPr>
          <w:trHeight w:val="252"/>
          <w:jc w:val="center"/>
        </w:trPr>
        <w:tc>
          <w:tcPr>
            <w:tcW w:w="2978" w:type="pct"/>
          </w:tcPr>
          <w:p w:rsidR="007F7652" w:rsidRPr="00350B7A" w:rsidRDefault="007F7652" w:rsidP="007F7652">
            <w:pPr>
              <w:pStyle w:val="TableText"/>
              <w:numPr>
                <w:ilvl w:val="0"/>
                <w:numId w:val="50"/>
              </w:numPr>
              <w:ind w:firstLine="0"/>
              <w:jc w:val="left"/>
              <w:rPr>
                <w:rFonts w:cs="Times New Roman"/>
                <w:sz w:val="20"/>
                <w:szCs w:val="20"/>
              </w:rPr>
            </w:pPr>
            <w:r w:rsidRPr="00350B7A">
              <w:rPr>
                <w:rFonts w:cs="Times New Roman"/>
                <w:sz w:val="20"/>
                <w:szCs w:val="20"/>
              </w:rPr>
              <w:t>for group size = 12 (N=24)</w:t>
            </w:r>
          </w:p>
        </w:tc>
        <w:tc>
          <w:tcPr>
            <w:tcW w:w="1277" w:type="pct"/>
          </w:tcPr>
          <w:p w:rsidR="007F7652" w:rsidRPr="00350B7A" w:rsidRDefault="007F7652" w:rsidP="00E65743">
            <w:pPr>
              <w:pStyle w:val="TableText"/>
              <w:rPr>
                <w:rFonts w:cs="Times New Roman"/>
                <w:sz w:val="20"/>
                <w:szCs w:val="20"/>
              </w:rPr>
            </w:pPr>
            <w:r w:rsidRPr="00350B7A">
              <w:rPr>
                <w:rFonts w:cs="Times New Roman"/>
                <w:sz w:val="20"/>
                <w:szCs w:val="20"/>
              </w:rPr>
              <w:t>0.64 / 0.566</w:t>
            </w:r>
          </w:p>
        </w:tc>
        <w:tc>
          <w:tcPr>
            <w:tcW w:w="745" w:type="pct"/>
          </w:tcPr>
          <w:p w:rsidR="007F7652" w:rsidRPr="00350B7A" w:rsidRDefault="007F7652" w:rsidP="00E65743">
            <w:pPr>
              <w:pStyle w:val="TableText"/>
              <w:rPr>
                <w:rFonts w:cs="Times New Roman"/>
                <w:sz w:val="20"/>
                <w:szCs w:val="20"/>
              </w:rPr>
            </w:pPr>
            <w:r w:rsidRPr="00350B7A">
              <w:rPr>
                <w:rFonts w:cs="Times New Roman"/>
                <w:sz w:val="20"/>
                <w:szCs w:val="20"/>
              </w:rPr>
              <w:t>0.394</w:t>
            </w:r>
          </w:p>
        </w:tc>
      </w:tr>
      <w:tr w:rsidR="007F7652" w:rsidRPr="00350B7A" w:rsidTr="003E6536">
        <w:trPr>
          <w:trHeight w:val="252"/>
          <w:jc w:val="center"/>
        </w:trPr>
        <w:tc>
          <w:tcPr>
            <w:tcW w:w="2978" w:type="pct"/>
          </w:tcPr>
          <w:p w:rsidR="007F7652" w:rsidRPr="00350B7A" w:rsidRDefault="007F7652" w:rsidP="003E6536">
            <w:pPr>
              <w:pStyle w:val="TableText"/>
              <w:numPr>
                <w:ilvl w:val="0"/>
                <w:numId w:val="50"/>
              </w:numPr>
              <w:ind w:firstLine="0"/>
              <w:jc w:val="left"/>
              <w:rPr>
                <w:rFonts w:cs="Times New Roman"/>
                <w:sz w:val="20"/>
                <w:szCs w:val="20"/>
              </w:rPr>
            </w:pPr>
            <w:r w:rsidRPr="00350B7A">
              <w:rPr>
                <w:rFonts w:cs="Times New Roman"/>
                <w:sz w:val="20"/>
                <w:szCs w:val="20"/>
              </w:rPr>
              <w:t>for group size = 14 (N=28)</w:t>
            </w:r>
          </w:p>
        </w:tc>
        <w:tc>
          <w:tcPr>
            <w:tcW w:w="1277" w:type="pct"/>
          </w:tcPr>
          <w:p w:rsidR="007F7652" w:rsidRPr="00350B7A" w:rsidRDefault="007F7652" w:rsidP="00E65743">
            <w:pPr>
              <w:pStyle w:val="TableText"/>
              <w:rPr>
                <w:rFonts w:cs="Times New Roman"/>
                <w:sz w:val="20"/>
                <w:szCs w:val="20"/>
              </w:rPr>
            </w:pPr>
            <w:r w:rsidRPr="00350B7A">
              <w:rPr>
                <w:rFonts w:cs="Times New Roman"/>
                <w:sz w:val="20"/>
                <w:szCs w:val="20"/>
              </w:rPr>
              <w:t>0.45 / 0.454</w:t>
            </w:r>
          </w:p>
        </w:tc>
        <w:tc>
          <w:tcPr>
            <w:tcW w:w="745" w:type="pct"/>
          </w:tcPr>
          <w:p w:rsidR="007F7652" w:rsidRPr="00350B7A" w:rsidRDefault="007F7652" w:rsidP="00E65743">
            <w:pPr>
              <w:pStyle w:val="TableText"/>
              <w:rPr>
                <w:rFonts w:cs="Times New Roman"/>
                <w:sz w:val="20"/>
                <w:szCs w:val="20"/>
              </w:rPr>
            </w:pPr>
            <w:r w:rsidRPr="00350B7A">
              <w:rPr>
                <w:rFonts w:cs="Times New Roman"/>
                <w:sz w:val="20"/>
                <w:szCs w:val="20"/>
              </w:rPr>
              <w:t>0.395</w:t>
            </w:r>
          </w:p>
        </w:tc>
      </w:tr>
      <w:tr w:rsidR="007F7652" w:rsidRPr="00350B7A" w:rsidTr="003E6536">
        <w:trPr>
          <w:trHeight w:val="252"/>
          <w:jc w:val="center"/>
        </w:trPr>
        <w:tc>
          <w:tcPr>
            <w:tcW w:w="2978" w:type="pct"/>
          </w:tcPr>
          <w:p w:rsidR="007F7652" w:rsidRPr="00350B7A" w:rsidRDefault="007F7652" w:rsidP="003E6536">
            <w:pPr>
              <w:pStyle w:val="TableText"/>
              <w:numPr>
                <w:ilvl w:val="0"/>
                <w:numId w:val="50"/>
              </w:numPr>
              <w:ind w:firstLine="0"/>
              <w:jc w:val="left"/>
              <w:rPr>
                <w:rFonts w:cs="Times New Roman"/>
                <w:sz w:val="20"/>
                <w:szCs w:val="20"/>
              </w:rPr>
            </w:pPr>
            <w:r w:rsidRPr="00350B7A">
              <w:rPr>
                <w:rFonts w:cs="Times New Roman"/>
                <w:sz w:val="20"/>
                <w:szCs w:val="20"/>
              </w:rPr>
              <w:t>for group size = 16 (N=16)</w:t>
            </w:r>
          </w:p>
        </w:tc>
        <w:tc>
          <w:tcPr>
            <w:tcW w:w="1277" w:type="pct"/>
          </w:tcPr>
          <w:p w:rsidR="007F7652" w:rsidRPr="00350B7A" w:rsidRDefault="007F7652" w:rsidP="00E65743">
            <w:pPr>
              <w:pStyle w:val="TableText"/>
              <w:rPr>
                <w:rFonts w:cs="Times New Roman"/>
                <w:sz w:val="20"/>
                <w:szCs w:val="20"/>
              </w:rPr>
            </w:pPr>
            <w:r w:rsidRPr="00350B7A">
              <w:rPr>
                <w:rFonts w:cs="Times New Roman"/>
                <w:sz w:val="20"/>
                <w:szCs w:val="20"/>
              </w:rPr>
              <w:t>0.5 / 0.513</w:t>
            </w:r>
          </w:p>
        </w:tc>
        <w:tc>
          <w:tcPr>
            <w:tcW w:w="745" w:type="pct"/>
          </w:tcPr>
          <w:p w:rsidR="007F7652" w:rsidRPr="00350B7A" w:rsidRDefault="007F7652" w:rsidP="00E65743">
            <w:pPr>
              <w:pStyle w:val="TableText"/>
              <w:rPr>
                <w:rFonts w:cs="Times New Roman"/>
                <w:sz w:val="20"/>
                <w:szCs w:val="20"/>
              </w:rPr>
            </w:pPr>
            <w:r w:rsidRPr="00350B7A">
              <w:rPr>
                <w:rFonts w:cs="Times New Roman"/>
                <w:sz w:val="20"/>
                <w:szCs w:val="20"/>
              </w:rPr>
              <w:t>0.416</w:t>
            </w:r>
          </w:p>
        </w:tc>
      </w:tr>
      <w:tr w:rsidR="003E6536" w:rsidRPr="00350B7A" w:rsidTr="003E6536">
        <w:trPr>
          <w:trHeight w:val="252"/>
          <w:jc w:val="center"/>
        </w:trPr>
        <w:tc>
          <w:tcPr>
            <w:tcW w:w="2978" w:type="pct"/>
          </w:tcPr>
          <w:p w:rsidR="003E6536" w:rsidRPr="00350B7A" w:rsidRDefault="003E6536" w:rsidP="00E65743">
            <w:pPr>
              <w:pStyle w:val="TableText"/>
              <w:jc w:val="left"/>
              <w:rPr>
                <w:rFonts w:cs="Times New Roman"/>
                <w:b/>
                <w:sz w:val="20"/>
                <w:szCs w:val="20"/>
              </w:rPr>
            </w:pPr>
            <w:r w:rsidRPr="00350B7A">
              <w:rPr>
                <w:rFonts w:cs="Times New Roman"/>
                <w:b/>
                <w:iCs/>
                <w:sz w:val="20"/>
                <w:szCs w:val="20"/>
              </w:rPr>
              <w:t>Rationality</w:t>
            </w:r>
          </w:p>
        </w:tc>
        <w:tc>
          <w:tcPr>
            <w:tcW w:w="1277" w:type="pct"/>
          </w:tcPr>
          <w:p w:rsidR="003E6536" w:rsidRPr="00350B7A" w:rsidRDefault="003E6536" w:rsidP="00E65743">
            <w:pPr>
              <w:pStyle w:val="TableText"/>
              <w:rPr>
                <w:rFonts w:cs="Times New Roman"/>
                <w:sz w:val="20"/>
                <w:szCs w:val="20"/>
              </w:rPr>
            </w:pPr>
          </w:p>
        </w:tc>
        <w:tc>
          <w:tcPr>
            <w:tcW w:w="745" w:type="pct"/>
          </w:tcPr>
          <w:p w:rsidR="003E6536" w:rsidRPr="00350B7A" w:rsidRDefault="003E6536" w:rsidP="00E65743">
            <w:pPr>
              <w:pStyle w:val="TableText"/>
              <w:rPr>
                <w:rFonts w:cs="Times New Roman"/>
                <w:sz w:val="20"/>
                <w:szCs w:val="20"/>
              </w:rPr>
            </w:pPr>
          </w:p>
        </w:tc>
      </w:tr>
      <w:tr w:rsidR="003E6536" w:rsidRPr="00350B7A" w:rsidTr="003E6536">
        <w:trPr>
          <w:trHeight w:val="252"/>
          <w:jc w:val="center"/>
        </w:trPr>
        <w:tc>
          <w:tcPr>
            <w:tcW w:w="2978" w:type="pct"/>
          </w:tcPr>
          <w:p w:rsidR="003E6536" w:rsidRPr="00350B7A" w:rsidRDefault="003E6536" w:rsidP="003E6536">
            <w:pPr>
              <w:pStyle w:val="TableText"/>
              <w:numPr>
                <w:ilvl w:val="0"/>
                <w:numId w:val="49"/>
              </w:numPr>
              <w:ind w:firstLine="0"/>
              <w:jc w:val="left"/>
              <w:rPr>
                <w:rFonts w:cs="Times New Roman"/>
                <w:sz w:val="20"/>
                <w:szCs w:val="20"/>
              </w:rPr>
            </w:pPr>
            <w:r w:rsidRPr="00350B7A">
              <w:rPr>
                <w:rFonts w:cs="Times New Roman"/>
                <w:sz w:val="20"/>
                <w:szCs w:val="20"/>
              </w:rPr>
              <w:t>for all participants (N=140)</w:t>
            </w:r>
          </w:p>
        </w:tc>
        <w:tc>
          <w:tcPr>
            <w:tcW w:w="1277" w:type="pct"/>
          </w:tcPr>
          <w:p w:rsidR="003E6536" w:rsidRPr="00350B7A" w:rsidRDefault="003E6536" w:rsidP="00E65743">
            <w:pPr>
              <w:pStyle w:val="TableText"/>
              <w:rPr>
                <w:rFonts w:cs="Times New Roman"/>
                <w:sz w:val="20"/>
                <w:szCs w:val="20"/>
              </w:rPr>
            </w:pPr>
            <w:r w:rsidRPr="00350B7A">
              <w:rPr>
                <w:rFonts w:cs="Times New Roman"/>
                <w:sz w:val="20"/>
                <w:szCs w:val="20"/>
              </w:rPr>
              <w:t>3.3 / 3.29</w:t>
            </w:r>
          </w:p>
        </w:tc>
        <w:tc>
          <w:tcPr>
            <w:tcW w:w="745" w:type="pct"/>
          </w:tcPr>
          <w:p w:rsidR="003E6536" w:rsidRPr="00350B7A" w:rsidRDefault="003E6536" w:rsidP="00E65743">
            <w:pPr>
              <w:pStyle w:val="TableText"/>
              <w:rPr>
                <w:rFonts w:cs="Times New Roman"/>
                <w:sz w:val="20"/>
                <w:szCs w:val="20"/>
              </w:rPr>
            </w:pPr>
            <w:r w:rsidRPr="00350B7A">
              <w:rPr>
                <w:rFonts w:cs="Times New Roman"/>
                <w:sz w:val="20"/>
                <w:szCs w:val="20"/>
              </w:rPr>
              <w:t>0.712</w:t>
            </w:r>
          </w:p>
        </w:tc>
      </w:tr>
      <w:tr w:rsidR="003E6536" w:rsidRPr="00350B7A" w:rsidTr="003E6536">
        <w:trPr>
          <w:trHeight w:val="252"/>
          <w:jc w:val="center"/>
        </w:trPr>
        <w:tc>
          <w:tcPr>
            <w:tcW w:w="2978" w:type="pct"/>
          </w:tcPr>
          <w:p w:rsidR="003E6536" w:rsidRPr="00350B7A" w:rsidRDefault="003E6536" w:rsidP="003E6536">
            <w:pPr>
              <w:pStyle w:val="TableText"/>
              <w:numPr>
                <w:ilvl w:val="0"/>
                <w:numId w:val="49"/>
              </w:numPr>
              <w:ind w:firstLine="0"/>
              <w:jc w:val="left"/>
              <w:rPr>
                <w:rFonts w:cs="Times New Roman"/>
                <w:sz w:val="20"/>
                <w:szCs w:val="20"/>
              </w:rPr>
            </w:pPr>
            <w:r w:rsidRPr="00350B7A">
              <w:rPr>
                <w:rFonts w:cs="Times New Roman"/>
                <w:sz w:val="20"/>
                <w:szCs w:val="20"/>
              </w:rPr>
              <w:t>for all males (N=85)</w:t>
            </w:r>
          </w:p>
        </w:tc>
        <w:tc>
          <w:tcPr>
            <w:tcW w:w="1277" w:type="pct"/>
          </w:tcPr>
          <w:p w:rsidR="003E6536" w:rsidRPr="00350B7A" w:rsidRDefault="003E6536" w:rsidP="00E65743">
            <w:pPr>
              <w:pStyle w:val="TableText"/>
              <w:rPr>
                <w:rFonts w:cs="Times New Roman"/>
                <w:sz w:val="20"/>
                <w:szCs w:val="20"/>
              </w:rPr>
            </w:pPr>
            <w:r w:rsidRPr="00350B7A">
              <w:rPr>
                <w:rFonts w:cs="Times New Roman"/>
                <w:sz w:val="20"/>
                <w:szCs w:val="20"/>
              </w:rPr>
              <w:t>3.3 / 3.198</w:t>
            </w:r>
          </w:p>
        </w:tc>
        <w:tc>
          <w:tcPr>
            <w:tcW w:w="745" w:type="pct"/>
          </w:tcPr>
          <w:p w:rsidR="003E6536" w:rsidRPr="00350B7A" w:rsidRDefault="003E6536" w:rsidP="00E65743">
            <w:pPr>
              <w:pStyle w:val="TableText"/>
              <w:rPr>
                <w:rFonts w:cs="Times New Roman"/>
                <w:sz w:val="20"/>
                <w:szCs w:val="20"/>
              </w:rPr>
            </w:pPr>
            <w:r w:rsidRPr="00350B7A">
              <w:rPr>
                <w:rFonts w:cs="Times New Roman"/>
                <w:sz w:val="20"/>
                <w:szCs w:val="20"/>
              </w:rPr>
              <w:t>0.755</w:t>
            </w:r>
          </w:p>
        </w:tc>
      </w:tr>
      <w:tr w:rsidR="003E6536" w:rsidRPr="00350B7A" w:rsidTr="003E6536">
        <w:trPr>
          <w:trHeight w:val="252"/>
          <w:jc w:val="center"/>
        </w:trPr>
        <w:tc>
          <w:tcPr>
            <w:tcW w:w="2978" w:type="pct"/>
            <w:tcBorders>
              <w:bottom w:val="single" w:sz="12" w:space="0" w:color="auto"/>
            </w:tcBorders>
          </w:tcPr>
          <w:p w:rsidR="003E6536" w:rsidRPr="00350B7A" w:rsidRDefault="003E6536" w:rsidP="003E6536">
            <w:pPr>
              <w:pStyle w:val="TableText"/>
              <w:numPr>
                <w:ilvl w:val="0"/>
                <w:numId w:val="49"/>
              </w:numPr>
              <w:ind w:firstLine="0"/>
              <w:jc w:val="left"/>
              <w:rPr>
                <w:rFonts w:cs="Times New Roman"/>
                <w:sz w:val="20"/>
                <w:szCs w:val="20"/>
              </w:rPr>
            </w:pPr>
            <w:r w:rsidRPr="00350B7A">
              <w:rPr>
                <w:rFonts w:cs="Times New Roman"/>
                <w:sz w:val="20"/>
                <w:szCs w:val="20"/>
              </w:rPr>
              <w:t>for all females (N=55)</w:t>
            </w:r>
          </w:p>
        </w:tc>
        <w:tc>
          <w:tcPr>
            <w:tcW w:w="1277" w:type="pct"/>
            <w:tcBorders>
              <w:bottom w:val="single" w:sz="12" w:space="0" w:color="auto"/>
            </w:tcBorders>
          </w:tcPr>
          <w:p w:rsidR="003E6536" w:rsidRPr="00350B7A" w:rsidRDefault="003E6536" w:rsidP="00E65743">
            <w:pPr>
              <w:pStyle w:val="TableText"/>
              <w:rPr>
                <w:rFonts w:cs="Times New Roman"/>
                <w:sz w:val="20"/>
                <w:szCs w:val="20"/>
              </w:rPr>
            </w:pPr>
            <w:r w:rsidRPr="00350B7A">
              <w:rPr>
                <w:rFonts w:cs="Times New Roman"/>
                <w:sz w:val="20"/>
                <w:szCs w:val="20"/>
              </w:rPr>
              <w:t xml:space="preserve">3.5 / 3.42 </w:t>
            </w:r>
          </w:p>
        </w:tc>
        <w:tc>
          <w:tcPr>
            <w:tcW w:w="745" w:type="pct"/>
            <w:tcBorders>
              <w:bottom w:val="single" w:sz="12" w:space="0" w:color="auto"/>
            </w:tcBorders>
          </w:tcPr>
          <w:p w:rsidR="003E6536" w:rsidRPr="00350B7A" w:rsidRDefault="003E6536" w:rsidP="00E65743">
            <w:pPr>
              <w:pStyle w:val="TableText"/>
              <w:rPr>
                <w:rFonts w:cs="Times New Roman"/>
                <w:sz w:val="20"/>
                <w:szCs w:val="20"/>
              </w:rPr>
            </w:pPr>
            <w:r w:rsidRPr="00350B7A">
              <w:rPr>
                <w:rFonts w:cs="Times New Roman"/>
                <w:sz w:val="20"/>
                <w:szCs w:val="20"/>
              </w:rPr>
              <w:t>0.623</w:t>
            </w:r>
          </w:p>
        </w:tc>
      </w:tr>
    </w:tbl>
    <w:p w:rsidR="003E6536" w:rsidRPr="00350B7A" w:rsidRDefault="003E6536" w:rsidP="003E6536">
      <w:pPr>
        <w:pStyle w:val="MDPI31text"/>
      </w:pPr>
    </w:p>
    <w:p w:rsidR="003E6536" w:rsidRPr="00350B7A" w:rsidRDefault="003E6536" w:rsidP="003E6536">
      <w:pPr>
        <w:pStyle w:val="MDPI31text"/>
      </w:pPr>
      <w:r w:rsidRPr="00350B7A">
        <w:t xml:space="preserve">The average contribution of females and males was close with $.478 and $.517 respectively and its magnitude is in line with previous experiments </w:t>
      </w:r>
      <w:r w:rsidR="00AA0E8D" w:rsidRPr="00350B7A">
        <w:fldChar w:fldCharType="begin"/>
      </w:r>
      <w:r w:rsidR="00631347" w:rsidRPr="00350B7A">
        <w:instrText xml:space="preserve"> ADDIN ZOTERO_ITEM CSL_CITATION {"citationID":"wjmwxQWL","properties":{"formattedCitation":"[1,28,29]","plainCitation":"[1,28,29]"},"citationItems":[{"id":13,"uris":["http://zotero.org/users/4719949/items/7CSXFMBF"],"uri":["http://zotero.org/users/4719949/items/7CSXFMBF"],"itemData":{"id":13,"type":"article-journal","title":"Framing effects and gender differences in voluntary public goods provision experiments","container-title":"The Journal of Socio-Economics","page":"455–457","volume":"39","issue":"4","source":"Google Scholar","DOI":"10.1016/j.socec.2010.03.002","author":[{"family":"Fujimoto","given":"Hiroaki"},{"family":"Park","given":"Eun-Soo"}],"issued":{"date-parts":[["2010"]]}}},{"id":27,"uris":["http://zotero.org/users/4719949/items/DK427M4F"],"uri":["http://zotero.org/users/4719949/items/DK427M4F"],"itemData":{"id":27,"type":"article-journal","title":"Cooperation in public-goods experiments: kindness or confusion?","container-title":"The American Economic Review","page":"891–904","source":"Google Scholar","shortTitle":"Cooperation in public-goods experiments","author":[{"family":"Andreoni","given":"James"}],"issued":{"date-parts":[["1995"]]}}},{"id":271,"uris":["http://zotero.org/users/4719949/items/ZVRXDNWW"],"uri":["http://zotero.org/users/4719949/items/ZVRXDNWW"],"itemData":{"id":271,"type":"article-journal","title":"Warm-glow versus cold-prickle: a further experimental study of framing effects on free-riding","container-title":"Journal of Economic Behavior &amp; Organization","page":"405-421","volume":"43","issue":"4","source":"ScienceDirect","abstract":"This paper examines the effects of positive and negative framing on cooperation in voluntary public goods provision experiments in which subjects have different value orientations. The major finding of this experiment is that while there is a significant difference between the two framing conditions in terms of overall contribution rates, there is no significant difference for some subjects. In particular, the data strongly suggest that the negative framing has a most salient effect on the subjects who have individualistic value orientation, whereas the negative framing has a rather insignificant effect on the subjects who have cooperative value orientation. This suggests that at least for some group, the behavioral asymmetry between the warm-glow of doing something good and cold-prickle of doing something bad may not be as significant as in the previous study of Andreoni (1995).","DOI":"10.1016/S0167-2681(00)00128-1","ISSN":"0167-2681","shortTitle":"Warm-glow versus cold-prickle","journalAbbreviation":"Journal of Economic Behavior &amp; Organization","author":[{"family":"Park","given":"Eun-Soo"}],"issued":{"date-parts":[["2000",12,1]]}}}],"schema":"https://github.com/citation-style-language/schema/raw/master/csl-citation.json"} </w:instrText>
      </w:r>
      <w:r w:rsidR="00AA0E8D" w:rsidRPr="00350B7A">
        <w:fldChar w:fldCharType="separate"/>
      </w:r>
      <w:r w:rsidR="00631347" w:rsidRPr="00350B7A">
        <w:t>[1,28,29]</w:t>
      </w:r>
      <w:r w:rsidR="00AA0E8D" w:rsidRPr="00350B7A">
        <w:fldChar w:fldCharType="end"/>
      </w:r>
      <w:r w:rsidR="00AA0E8D" w:rsidRPr="00350B7A">
        <w:t>.</w:t>
      </w:r>
      <w:r w:rsidRPr="00350B7A">
        <w:t xml:space="preserve"> The value of the standard deviation for all participants also does not give an unusual number (S.D.=0.392), however, when grouped by gender, it shows a difference of 0.1 with values of 0.329 for females and 0.429 for males. This difference will be important for the analysis in the sub-chapter 3.2. Gender Differences, but first we will discuss the analysis of the personality traits.</w:t>
      </w:r>
    </w:p>
    <w:p w:rsidR="00E65743" w:rsidRPr="00350B7A" w:rsidRDefault="00E65743" w:rsidP="00E65743">
      <w:pPr>
        <w:pStyle w:val="MDPI22heading2"/>
      </w:pPr>
      <w:r w:rsidRPr="00350B7A">
        <w:t>3.1. Personality Traits</w:t>
      </w:r>
    </w:p>
    <w:p w:rsidR="00E65743" w:rsidRPr="00350B7A" w:rsidRDefault="005A6ABD" w:rsidP="00E65743">
      <w:pPr>
        <w:pStyle w:val="MDPI31text"/>
      </w:pPr>
      <w:r w:rsidRPr="00350B7A">
        <w:t xml:space="preserve">Rational choice theory </w:t>
      </w:r>
      <w:r w:rsidR="00E65743" w:rsidRPr="00350B7A">
        <w:t xml:space="preserve">suggest that the rational actor would try to maximize personal payout by investing only the minimum amount possible, in this case zero, into the public good. In the ex-ante survey participant’s rational ability was tested as a factor in the REI-40 </w:t>
      </w:r>
      <w:r w:rsidR="00E65743" w:rsidRPr="00350B7A">
        <w:fldChar w:fldCharType="begin"/>
      </w:r>
      <w:r w:rsidR="00631347" w:rsidRPr="00350B7A">
        <w:instrText xml:space="preserve"> ADDIN ZOTERO_ITEM CSL_CITATION {"citationID":"a29khbuuede","properties":{"formattedCitation":"[19]","plainCitation":"[19]"},"citationItems":[{"id":6,"uris":["http://zotero.org/users/4719949/items/T74ALKNL"],"uri":["http://zotero.org/users/4719949/items/T74ALKNL"],"itemData":{"id":6,"type":"article-journal","title":"The relation of rational and experiential information processing styles to personality, basic beliefs, and the ratio-bias phenomenon.","container-title":"Journal of personality and social psychology","page":"972","volume":"76","issue":"6","source":"Google Scholar","DOI":"https://doi.org/10.1037/0022-3514.76.6.972","author":[{"family":"Pacini","given":"Rosemary"},{"family":"Epstein","given":"Seymour"}],"issued":{"date-parts":[["1999"]]}}}],"schema":"https://github.com/citation-style-language/schema/raw/master/csl-citation.json"} </w:instrText>
      </w:r>
      <w:r w:rsidR="00E65743" w:rsidRPr="00350B7A">
        <w:fldChar w:fldCharType="separate"/>
      </w:r>
      <w:r w:rsidR="00631347" w:rsidRPr="00350B7A">
        <w:t>[19]</w:t>
      </w:r>
      <w:r w:rsidR="00E65743" w:rsidRPr="00350B7A">
        <w:fldChar w:fldCharType="end"/>
      </w:r>
      <w:r w:rsidR="00E65743" w:rsidRPr="00350B7A">
        <w:t xml:space="preserve"> and we find that participants whose score showed higher rational ability also contributed significantly less into the public good. Since the measure for rational ability can take on many values, we divided participants in five groups to facilitate the interpretation of the values. We adjusted the interval of the rational ability score to get a more even distribution of observations between the groups, since most participants achieved a score between 3 and 4 and very few participants achieve a score lower than 2. Table 2 shows the relevant statistics.</w:t>
      </w:r>
    </w:p>
    <w:p w:rsidR="005A6ABD" w:rsidRPr="00350B7A" w:rsidRDefault="005A6ABD" w:rsidP="00E65743">
      <w:pPr>
        <w:pStyle w:val="MDPI31text"/>
      </w:pPr>
    </w:p>
    <w:p w:rsidR="005A6ABD" w:rsidRPr="00350B7A" w:rsidRDefault="005A6ABD" w:rsidP="00E65743">
      <w:pPr>
        <w:pStyle w:val="MDPI31text"/>
      </w:pPr>
    </w:p>
    <w:p w:rsidR="003E6536" w:rsidRPr="00350B7A" w:rsidRDefault="003E6536" w:rsidP="003E6536">
      <w:pPr>
        <w:pStyle w:val="MDPI41tablecaption"/>
        <w:jc w:val="center"/>
      </w:pPr>
      <w:r w:rsidRPr="00350B7A">
        <w:rPr>
          <w:b/>
        </w:rPr>
        <w:t>Table 2.</w:t>
      </w:r>
      <w:r w:rsidRPr="00350B7A">
        <w:t xml:space="preserve"> Investment in Public Goods by participants with different rational ability scores</w:t>
      </w:r>
    </w:p>
    <w:tbl>
      <w:tblPr>
        <w:tblW w:w="0" w:type="auto"/>
        <w:tblLook w:val="04A0" w:firstRow="1" w:lastRow="0" w:firstColumn="1" w:lastColumn="0" w:noHBand="0" w:noVBand="1"/>
      </w:tblPr>
      <w:tblGrid>
        <w:gridCol w:w="3321"/>
        <w:gridCol w:w="1100"/>
        <w:gridCol w:w="1100"/>
        <w:gridCol w:w="1100"/>
        <w:gridCol w:w="1100"/>
        <w:gridCol w:w="1100"/>
      </w:tblGrid>
      <w:tr w:rsidR="003E6536" w:rsidRPr="00350B7A" w:rsidTr="00E65743">
        <w:trPr>
          <w:trHeight w:val="252"/>
        </w:trPr>
        <w:tc>
          <w:tcPr>
            <w:tcW w:w="0" w:type="auto"/>
            <w:tcBorders>
              <w:top w:val="single" w:sz="12" w:space="0" w:color="auto"/>
              <w:bottom w:val="single" w:sz="4" w:space="0" w:color="auto"/>
              <w:tl2br w:val="single" w:sz="4" w:space="0" w:color="auto"/>
            </w:tcBorders>
          </w:tcPr>
          <w:p w:rsidR="003E6536" w:rsidRPr="00350B7A" w:rsidRDefault="003E6536" w:rsidP="003E6536">
            <w:pPr>
              <w:spacing w:after="0" w:line="240" w:lineRule="auto"/>
              <w:rPr>
                <w:rFonts w:ascii="Times New Roman" w:eastAsia="Calisto MT" w:hAnsi="Times New Roman" w:cs="TimesLTStd-Roman"/>
                <w:b/>
                <w:color w:val="000000"/>
                <w:sz w:val="20"/>
                <w:szCs w:val="16"/>
              </w:rPr>
            </w:pPr>
            <w:r w:rsidRPr="00350B7A">
              <w:rPr>
                <w:rFonts w:ascii="Times New Roman" w:eastAsia="Calisto MT" w:hAnsi="Times New Roman" w:cs="TimesLTStd-Roman"/>
                <w:b/>
                <w:color w:val="000000"/>
                <w:sz w:val="20"/>
                <w:szCs w:val="16"/>
              </w:rPr>
              <w:t xml:space="preserve">            Rational Ability Score</w:t>
            </w:r>
          </w:p>
          <w:p w:rsidR="003E6536" w:rsidRPr="00350B7A" w:rsidRDefault="003E6536" w:rsidP="003E6536">
            <w:pPr>
              <w:spacing w:after="0" w:line="240" w:lineRule="auto"/>
              <w:rPr>
                <w:rFonts w:ascii="Times New Roman" w:eastAsia="Calisto MT" w:hAnsi="Times New Roman" w:cs="TimesLTStd-Roman"/>
                <w:b/>
                <w:color w:val="000000"/>
                <w:sz w:val="20"/>
                <w:szCs w:val="16"/>
              </w:rPr>
            </w:pPr>
          </w:p>
          <w:p w:rsidR="003E6536" w:rsidRPr="00350B7A" w:rsidRDefault="003E6536" w:rsidP="003E6536">
            <w:pPr>
              <w:spacing w:after="0" w:line="240" w:lineRule="auto"/>
              <w:rPr>
                <w:rFonts w:ascii="Times New Roman" w:eastAsia="Calisto MT" w:hAnsi="Times New Roman" w:cs="TimesLTStd-Roman"/>
                <w:b/>
                <w:color w:val="000000"/>
                <w:sz w:val="20"/>
                <w:szCs w:val="16"/>
              </w:rPr>
            </w:pPr>
            <w:r w:rsidRPr="00350B7A">
              <w:rPr>
                <w:rFonts w:ascii="Times New Roman" w:eastAsia="Calisto MT" w:hAnsi="Times New Roman" w:cs="TimesLTStd-Roman"/>
                <w:b/>
                <w:color w:val="000000"/>
                <w:sz w:val="20"/>
                <w:szCs w:val="16"/>
              </w:rPr>
              <w:t>Investment in Public Good</w:t>
            </w:r>
          </w:p>
        </w:tc>
        <w:tc>
          <w:tcPr>
            <w:tcW w:w="0" w:type="auto"/>
            <w:tcBorders>
              <w:top w:val="single" w:sz="12" w:space="0" w:color="auto"/>
              <w:bottom w:val="single" w:sz="4" w:space="0" w:color="auto"/>
            </w:tcBorders>
            <w:vAlign w:val="center"/>
          </w:tcPr>
          <w:p w:rsidR="003E6536" w:rsidRPr="00350B7A" w:rsidRDefault="003E6536" w:rsidP="003E6536">
            <w:pPr>
              <w:spacing w:after="0" w:line="240" w:lineRule="auto"/>
              <w:jc w:val="center"/>
              <w:rPr>
                <w:rFonts w:ascii="Times New Roman" w:eastAsia="Calisto MT" w:hAnsi="Times New Roman" w:cs="TimesLTStd-Roman"/>
                <w:b/>
                <w:color w:val="000000"/>
                <w:sz w:val="20"/>
                <w:szCs w:val="16"/>
              </w:rPr>
            </w:pPr>
            <w:r w:rsidRPr="00350B7A">
              <w:rPr>
                <w:rFonts w:ascii="Times New Roman" w:eastAsia="Calisto MT" w:hAnsi="Times New Roman" w:cs="TimesLTStd-Roman"/>
                <w:b/>
                <w:color w:val="000000"/>
                <w:sz w:val="20"/>
                <w:szCs w:val="16"/>
              </w:rPr>
              <w:t xml:space="preserve">0 &lt; x </w:t>
            </w:r>
            <w:r w:rsidRPr="00350B7A">
              <w:rPr>
                <w:rFonts w:ascii="Times New Roman" w:eastAsia="Calisto MT" w:hAnsi="Times New Roman" w:cs="Times New Roman"/>
                <w:b/>
                <w:color w:val="000000"/>
                <w:sz w:val="20"/>
                <w:szCs w:val="16"/>
              </w:rPr>
              <w:t>≤</w:t>
            </w:r>
            <w:r w:rsidRPr="00350B7A">
              <w:rPr>
                <w:rFonts w:ascii="Times New Roman" w:eastAsia="Calisto MT" w:hAnsi="Times New Roman" w:cs="TimesLTStd-Roman"/>
                <w:b/>
                <w:color w:val="000000"/>
                <w:sz w:val="20"/>
                <w:szCs w:val="16"/>
              </w:rPr>
              <w:t xml:space="preserve"> 2</w:t>
            </w:r>
          </w:p>
        </w:tc>
        <w:tc>
          <w:tcPr>
            <w:tcW w:w="0" w:type="auto"/>
            <w:tcBorders>
              <w:top w:val="single" w:sz="12" w:space="0" w:color="auto"/>
              <w:bottom w:val="single" w:sz="4" w:space="0" w:color="auto"/>
            </w:tcBorders>
            <w:vAlign w:val="center"/>
          </w:tcPr>
          <w:p w:rsidR="003E6536" w:rsidRPr="00350B7A" w:rsidRDefault="003E6536" w:rsidP="003E6536">
            <w:pPr>
              <w:spacing w:after="0" w:line="240" w:lineRule="auto"/>
              <w:jc w:val="center"/>
              <w:rPr>
                <w:rFonts w:ascii="Times New Roman" w:eastAsia="Calisto MT" w:hAnsi="Times New Roman" w:cs="TimesLTStd-Roman"/>
                <w:b/>
                <w:color w:val="000000"/>
                <w:sz w:val="20"/>
                <w:szCs w:val="16"/>
              </w:rPr>
            </w:pPr>
            <w:r w:rsidRPr="00350B7A">
              <w:rPr>
                <w:rFonts w:ascii="Times New Roman" w:eastAsia="Calisto MT" w:hAnsi="Times New Roman" w:cs="TimesLTStd-Roman"/>
                <w:b/>
                <w:color w:val="000000"/>
                <w:sz w:val="20"/>
                <w:szCs w:val="16"/>
              </w:rPr>
              <w:t>2 &lt; x &lt; 3</w:t>
            </w:r>
          </w:p>
        </w:tc>
        <w:tc>
          <w:tcPr>
            <w:tcW w:w="0" w:type="auto"/>
            <w:tcBorders>
              <w:top w:val="single" w:sz="12" w:space="0" w:color="auto"/>
              <w:bottom w:val="single" w:sz="4" w:space="0" w:color="auto"/>
            </w:tcBorders>
            <w:vAlign w:val="center"/>
          </w:tcPr>
          <w:p w:rsidR="003E6536" w:rsidRPr="00350B7A" w:rsidRDefault="003E6536" w:rsidP="003E6536">
            <w:pPr>
              <w:spacing w:after="0" w:line="240" w:lineRule="auto"/>
              <w:jc w:val="center"/>
              <w:rPr>
                <w:rFonts w:ascii="Times New Roman" w:eastAsia="Calisto MT" w:hAnsi="Times New Roman" w:cs="TimesLTStd-Roman"/>
                <w:b/>
                <w:color w:val="000000"/>
                <w:sz w:val="20"/>
                <w:szCs w:val="16"/>
              </w:rPr>
            </w:pPr>
            <w:r w:rsidRPr="00350B7A">
              <w:rPr>
                <w:rFonts w:ascii="Times New Roman" w:eastAsia="Calisto MT" w:hAnsi="Times New Roman" w:cs="TimesLTStd-Roman"/>
                <w:b/>
                <w:color w:val="000000"/>
                <w:sz w:val="20"/>
                <w:szCs w:val="16"/>
              </w:rPr>
              <w:t xml:space="preserve">3 </w:t>
            </w:r>
            <w:r w:rsidRPr="00350B7A">
              <w:rPr>
                <w:rFonts w:ascii="Times New Roman" w:eastAsia="Calisto MT" w:hAnsi="Times New Roman" w:cs="Times New Roman"/>
                <w:b/>
                <w:color w:val="000000"/>
                <w:sz w:val="20"/>
                <w:szCs w:val="16"/>
              </w:rPr>
              <w:t>≤</w:t>
            </w:r>
            <w:r w:rsidRPr="00350B7A">
              <w:rPr>
                <w:rFonts w:ascii="Times New Roman" w:eastAsia="Calisto MT" w:hAnsi="Times New Roman" w:cs="TimesLTStd-Roman"/>
                <w:b/>
                <w:color w:val="000000"/>
                <w:sz w:val="20"/>
                <w:szCs w:val="16"/>
              </w:rPr>
              <w:t xml:space="preserve"> x &lt; 3.5</w:t>
            </w:r>
          </w:p>
        </w:tc>
        <w:tc>
          <w:tcPr>
            <w:tcW w:w="0" w:type="auto"/>
            <w:tcBorders>
              <w:top w:val="single" w:sz="12" w:space="0" w:color="auto"/>
              <w:bottom w:val="single" w:sz="4" w:space="0" w:color="auto"/>
            </w:tcBorders>
            <w:vAlign w:val="center"/>
          </w:tcPr>
          <w:p w:rsidR="003E6536" w:rsidRPr="00350B7A" w:rsidRDefault="003E6536" w:rsidP="003E6536">
            <w:pPr>
              <w:spacing w:after="0" w:line="240" w:lineRule="auto"/>
              <w:jc w:val="center"/>
              <w:rPr>
                <w:rFonts w:ascii="Times New Roman" w:eastAsia="Calisto MT" w:hAnsi="Times New Roman" w:cs="TimesLTStd-Roman"/>
                <w:b/>
                <w:color w:val="000000"/>
                <w:sz w:val="20"/>
                <w:szCs w:val="16"/>
              </w:rPr>
            </w:pPr>
            <w:r w:rsidRPr="00350B7A">
              <w:rPr>
                <w:rFonts w:ascii="Times New Roman" w:eastAsia="Calisto MT" w:hAnsi="Times New Roman" w:cs="TimesLTStd-Roman"/>
                <w:b/>
                <w:color w:val="000000"/>
                <w:sz w:val="20"/>
                <w:szCs w:val="16"/>
              </w:rPr>
              <w:t xml:space="preserve">3.5 </w:t>
            </w:r>
            <w:r w:rsidRPr="00350B7A">
              <w:rPr>
                <w:rFonts w:ascii="Times New Roman" w:eastAsia="Calisto MT" w:hAnsi="Times New Roman" w:cs="Times New Roman"/>
                <w:b/>
                <w:color w:val="000000"/>
                <w:sz w:val="20"/>
                <w:szCs w:val="16"/>
              </w:rPr>
              <w:t>≤</w:t>
            </w:r>
            <w:r w:rsidRPr="00350B7A">
              <w:rPr>
                <w:rFonts w:ascii="Times New Roman" w:eastAsia="Calisto MT" w:hAnsi="Times New Roman" w:cs="TimesLTStd-Roman"/>
                <w:b/>
                <w:color w:val="000000"/>
                <w:sz w:val="20"/>
                <w:szCs w:val="16"/>
              </w:rPr>
              <w:t xml:space="preserve"> x &lt; 4</w:t>
            </w:r>
          </w:p>
        </w:tc>
        <w:tc>
          <w:tcPr>
            <w:tcW w:w="0" w:type="auto"/>
            <w:tcBorders>
              <w:top w:val="single" w:sz="12" w:space="0" w:color="auto"/>
              <w:bottom w:val="single" w:sz="4" w:space="0" w:color="auto"/>
            </w:tcBorders>
            <w:vAlign w:val="center"/>
          </w:tcPr>
          <w:p w:rsidR="003E6536" w:rsidRPr="00350B7A" w:rsidRDefault="003E6536" w:rsidP="003E6536">
            <w:pPr>
              <w:spacing w:after="0" w:line="240" w:lineRule="auto"/>
              <w:jc w:val="center"/>
              <w:rPr>
                <w:rFonts w:ascii="Times New Roman" w:eastAsia="Calisto MT" w:hAnsi="Times New Roman" w:cs="TimesLTStd-Roman"/>
                <w:b/>
                <w:color w:val="000000"/>
                <w:sz w:val="20"/>
                <w:szCs w:val="16"/>
              </w:rPr>
            </w:pPr>
            <w:r w:rsidRPr="00350B7A">
              <w:rPr>
                <w:rFonts w:ascii="Times New Roman" w:eastAsia="Calisto MT" w:hAnsi="Times New Roman" w:cs="TimesLTStd-Roman"/>
                <w:b/>
                <w:color w:val="000000"/>
                <w:sz w:val="20"/>
                <w:szCs w:val="16"/>
              </w:rPr>
              <w:t xml:space="preserve">4 </w:t>
            </w:r>
            <w:r w:rsidRPr="00350B7A">
              <w:rPr>
                <w:rFonts w:ascii="Times New Roman" w:eastAsia="Calisto MT" w:hAnsi="Times New Roman" w:cs="Times New Roman"/>
                <w:b/>
                <w:color w:val="000000"/>
                <w:sz w:val="20"/>
                <w:szCs w:val="16"/>
              </w:rPr>
              <w:t>≤</w:t>
            </w:r>
            <w:r w:rsidRPr="00350B7A">
              <w:rPr>
                <w:rFonts w:ascii="Times New Roman" w:eastAsia="Calisto MT" w:hAnsi="Times New Roman" w:cs="TimesLTStd-Roman"/>
                <w:b/>
                <w:color w:val="000000"/>
                <w:sz w:val="20"/>
                <w:szCs w:val="16"/>
              </w:rPr>
              <w:t xml:space="preserve"> x</w:t>
            </w:r>
          </w:p>
        </w:tc>
      </w:tr>
      <w:tr w:rsidR="003E6536" w:rsidRPr="00350B7A" w:rsidTr="00E65743">
        <w:trPr>
          <w:trHeight w:val="252"/>
        </w:trPr>
        <w:tc>
          <w:tcPr>
            <w:tcW w:w="0" w:type="auto"/>
          </w:tcPr>
          <w:p w:rsidR="003E6536" w:rsidRPr="00350B7A" w:rsidRDefault="003E6536" w:rsidP="003E6536">
            <w:pPr>
              <w:spacing w:after="0" w:line="240" w:lineRule="auto"/>
              <w:jc w:val="both"/>
              <w:rPr>
                <w:rFonts w:ascii="Times New Roman" w:eastAsia="Calisto MT" w:hAnsi="Times New Roman" w:cs="TimesLTStd-Roman"/>
                <w:b/>
                <w:color w:val="000000"/>
                <w:sz w:val="20"/>
                <w:szCs w:val="16"/>
              </w:rPr>
            </w:pPr>
            <w:r w:rsidRPr="00350B7A">
              <w:rPr>
                <w:rFonts w:ascii="Times New Roman" w:eastAsia="Calisto MT" w:hAnsi="Times New Roman" w:cs="TimesLTStd-Roman"/>
                <w:b/>
                <w:color w:val="000000"/>
                <w:sz w:val="20"/>
                <w:szCs w:val="16"/>
              </w:rPr>
              <w:t>All participants (N=140)</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p>
        </w:tc>
      </w:tr>
      <w:tr w:rsidR="003E6536" w:rsidRPr="00350B7A" w:rsidTr="00E65743">
        <w:trPr>
          <w:trHeight w:val="252"/>
        </w:trPr>
        <w:tc>
          <w:tcPr>
            <w:tcW w:w="0" w:type="auto"/>
          </w:tcPr>
          <w:p w:rsidR="003E6536" w:rsidRPr="00350B7A" w:rsidRDefault="003E6536" w:rsidP="003E6536">
            <w:pPr>
              <w:numPr>
                <w:ilvl w:val="0"/>
                <w:numId w:val="49"/>
              </w:numPr>
              <w:spacing w:after="0" w:line="240" w:lineRule="auto"/>
              <w:ind w:firstLine="0"/>
              <w:jc w:val="both"/>
              <w:rPr>
                <w:rFonts w:ascii="Times New Roman" w:eastAsia="Calisto MT" w:hAnsi="Times New Roman" w:cs="TimesLTStd-Roman"/>
                <w:b/>
                <w:color w:val="000000"/>
                <w:sz w:val="20"/>
                <w:szCs w:val="16"/>
              </w:rPr>
            </w:pPr>
            <w:r w:rsidRPr="00350B7A">
              <w:rPr>
                <w:rFonts w:ascii="Times New Roman" w:eastAsia="Calisto MT" w:hAnsi="Times New Roman" w:cs="TimesLTStd-Roman"/>
                <w:b/>
                <w:color w:val="000000"/>
                <w:sz w:val="20"/>
                <w:szCs w:val="16"/>
              </w:rPr>
              <w:t>N</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11</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28</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37</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38</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26</w:t>
            </w:r>
          </w:p>
        </w:tc>
      </w:tr>
      <w:tr w:rsidR="003E6536" w:rsidRPr="00350B7A" w:rsidTr="00E65743">
        <w:trPr>
          <w:trHeight w:val="252"/>
        </w:trPr>
        <w:tc>
          <w:tcPr>
            <w:tcW w:w="0" w:type="auto"/>
          </w:tcPr>
          <w:p w:rsidR="003E6536" w:rsidRPr="00350B7A" w:rsidRDefault="003E6536" w:rsidP="003E6536">
            <w:pPr>
              <w:numPr>
                <w:ilvl w:val="0"/>
                <w:numId w:val="49"/>
              </w:numPr>
              <w:spacing w:after="0" w:line="240" w:lineRule="auto"/>
              <w:ind w:firstLine="0"/>
              <w:rPr>
                <w:rFonts w:ascii="Times New Roman" w:eastAsia="Calisto MT" w:hAnsi="Times New Roman" w:cs="TimesLTStd-Roman"/>
                <w:b/>
                <w:color w:val="000000"/>
                <w:sz w:val="20"/>
                <w:szCs w:val="16"/>
              </w:rPr>
            </w:pPr>
            <w:r w:rsidRPr="00350B7A">
              <w:rPr>
                <w:rFonts w:ascii="Times New Roman" w:eastAsia="Calisto MT" w:hAnsi="Times New Roman" w:cs="TimesLTStd-Roman"/>
                <w:b/>
                <w:color w:val="000000"/>
                <w:sz w:val="20"/>
                <w:szCs w:val="16"/>
              </w:rPr>
              <w:t>Mean (S.D.)</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0.85 (0.32)</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0.60 (0.42)</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0.51 (0.36)</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0.42 (0.36)</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0.34 (0.38)</w:t>
            </w:r>
          </w:p>
        </w:tc>
      </w:tr>
      <w:tr w:rsidR="003E6536" w:rsidRPr="00350B7A" w:rsidTr="00E65743">
        <w:trPr>
          <w:trHeight w:val="252"/>
        </w:trPr>
        <w:tc>
          <w:tcPr>
            <w:tcW w:w="0" w:type="auto"/>
          </w:tcPr>
          <w:p w:rsidR="003E6536" w:rsidRPr="00350B7A" w:rsidRDefault="003E6536" w:rsidP="003E6536">
            <w:pPr>
              <w:spacing w:after="0" w:line="240" w:lineRule="auto"/>
              <w:rPr>
                <w:rFonts w:ascii="Times New Roman" w:eastAsia="Calisto MT" w:hAnsi="Times New Roman" w:cs="TimesLTStd-Roman"/>
                <w:b/>
                <w:color w:val="000000"/>
                <w:sz w:val="20"/>
                <w:szCs w:val="16"/>
              </w:rPr>
            </w:pPr>
            <w:r w:rsidRPr="00350B7A">
              <w:rPr>
                <w:rFonts w:ascii="Times New Roman" w:eastAsia="Calisto MT" w:hAnsi="Times New Roman" w:cs="TimesLTStd-Roman"/>
                <w:b/>
                <w:color w:val="000000"/>
                <w:sz w:val="20"/>
                <w:szCs w:val="16"/>
              </w:rPr>
              <w:t>Only female (N=55)</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p>
        </w:tc>
      </w:tr>
      <w:tr w:rsidR="003E6536" w:rsidRPr="00350B7A" w:rsidTr="00E65743">
        <w:trPr>
          <w:trHeight w:val="252"/>
        </w:trPr>
        <w:tc>
          <w:tcPr>
            <w:tcW w:w="0" w:type="auto"/>
          </w:tcPr>
          <w:p w:rsidR="003E6536" w:rsidRPr="00350B7A" w:rsidRDefault="003E6536" w:rsidP="003E6536">
            <w:pPr>
              <w:numPr>
                <w:ilvl w:val="0"/>
                <w:numId w:val="49"/>
              </w:numPr>
              <w:spacing w:after="0" w:line="240" w:lineRule="auto"/>
              <w:ind w:firstLine="0"/>
              <w:rPr>
                <w:rFonts w:ascii="Times New Roman" w:eastAsia="Calisto MT" w:hAnsi="Times New Roman" w:cs="TimesLTStd-Roman"/>
                <w:b/>
                <w:color w:val="000000"/>
                <w:sz w:val="20"/>
                <w:szCs w:val="16"/>
              </w:rPr>
            </w:pPr>
            <w:r w:rsidRPr="00350B7A">
              <w:rPr>
                <w:rFonts w:ascii="Times New Roman" w:eastAsia="Calisto MT" w:hAnsi="Times New Roman" w:cs="TimesLTStd-Roman"/>
                <w:b/>
                <w:color w:val="000000"/>
                <w:sz w:val="20"/>
                <w:szCs w:val="16"/>
              </w:rPr>
              <w:t xml:space="preserve">N </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3</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8</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16</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16</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12</w:t>
            </w:r>
          </w:p>
        </w:tc>
      </w:tr>
      <w:tr w:rsidR="003E6536" w:rsidRPr="00350B7A" w:rsidTr="00E65743">
        <w:trPr>
          <w:trHeight w:val="252"/>
        </w:trPr>
        <w:tc>
          <w:tcPr>
            <w:tcW w:w="0" w:type="auto"/>
          </w:tcPr>
          <w:p w:rsidR="003E6536" w:rsidRPr="00350B7A" w:rsidRDefault="003E6536" w:rsidP="003E6536">
            <w:pPr>
              <w:numPr>
                <w:ilvl w:val="0"/>
                <w:numId w:val="49"/>
              </w:numPr>
              <w:spacing w:after="0" w:line="240" w:lineRule="auto"/>
              <w:ind w:firstLine="0"/>
              <w:rPr>
                <w:rFonts w:ascii="Times New Roman" w:eastAsia="Calisto MT" w:hAnsi="Times New Roman" w:cs="TimesLTStd-Roman"/>
                <w:b/>
                <w:color w:val="000000"/>
                <w:sz w:val="20"/>
                <w:szCs w:val="16"/>
              </w:rPr>
            </w:pPr>
            <w:r w:rsidRPr="00350B7A">
              <w:rPr>
                <w:rFonts w:ascii="Times New Roman" w:eastAsia="Calisto MT" w:hAnsi="Times New Roman" w:cs="TimesLTStd-Roman"/>
                <w:b/>
                <w:color w:val="000000"/>
                <w:sz w:val="20"/>
                <w:szCs w:val="16"/>
              </w:rPr>
              <w:t>Mean (S.D.)</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0.93 (0.12)</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0.41 (0.40)</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0.57 (0.26)</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0.38 (0.25)</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0.41 (0.40)</w:t>
            </w:r>
          </w:p>
        </w:tc>
      </w:tr>
      <w:tr w:rsidR="003E6536" w:rsidRPr="00350B7A" w:rsidTr="00E65743">
        <w:trPr>
          <w:trHeight w:val="252"/>
        </w:trPr>
        <w:tc>
          <w:tcPr>
            <w:tcW w:w="0" w:type="auto"/>
          </w:tcPr>
          <w:p w:rsidR="003E6536" w:rsidRPr="00350B7A" w:rsidRDefault="003E6536" w:rsidP="003E6536">
            <w:pPr>
              <w:spacing w:after="0" w:line="240" w:lineRule="auto"/>
              <w:rPr>
                <w:rFonts w:ascii="Times New Roman" w:eastAsia="Calisto MT" w:hAnsi="Times New Roman" w:cs="TimesLTStd-Roman"/>
                <w:b/>
                <w:color w:val="000000"/>
                <w:sz w:val="20"/>
                <w:szCs w:val="16"/>
              </w:rPr>
            </w:pPr>
            <w:r w:rsidRPr="00350B7A">
              <w:rPr>
                <w:rFonts w:ascii="Times New Roman" w:eastAsia="Calisto MT" w:hAnsi="Times New Roman" w:cs="TimesLTStd-Roman"/>
                <w:b/>
                <w:color w:val="000000"/>
                <w:sz w:val="20"/>
                <w:szCs w:val="16"/>
              </w:rPr>
              <w:t>Only male (N=85)</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p>
        </w:tc>
      </w:tr>
      <w:tr w:rsidR="003E6536" w:rsidRPr="00350B7A" w:rsidTr="00E65743">
        <w:trPr>
          <w:trHeight w:val="252"/>
        </w:trPr>
        <w:tc>
          <w:tcPr>
            <w:tcW w:w="0" w:type="auto"/>
          </w:tcPr>
          <w:p w:rsidR="003E6536" w:rsidRPr="00350B7A" w:rsidRDefault="003E6536" w:rsidP="003E6536">
            <w:pPr>
              <w:numPr>
                <w:ilvl w:val="0"/>
                <w:numId w:val="49"/>
              </w:numPr>
              <w:spacing w:after="0" w:line="240" w:lineRule="auto"/>
              <w:ind w:firstLine="0"/>
              <w:rPr>
                <w:rFonts w:ascii="Times New Roman" w:eastAsia="Calisto MT" w:hAnsi="Times New Roman" w:cs="TimesLTStd-Roman"/>
                <w:b/>
                <w:color w:val="000000"/>
                <w:sz w:val="20"/>
                <w:szCs w:val="16"/>
              </w:rPr>
            </w:pPr>
            <w:r w:rsidRPr="00350B7A">
              <w:rPr>
                <w:rFonts w:ascii="Times New Roman" w:eastAsia="Calisto MT" w:hAnsi="Times New Roman" w:cs="TimesLTStd-Roman"/>
                <w:b/>
                <w:color w:val="000000"/>
                <w:sz w:val="20"/>
                <w:szCs w:val="16"/>
              </w:rPr>
              <w:t>N</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8</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20</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21</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22</w:t>
            </w:r>
          </w:p>
        </w:tc>
        <w:tc>
          <w:tcPr>
            <w:tcW w:w="0" w:type="auto"/>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14</w:t>
            </w:r>
          </w:p>
        </w:tc>
      </w:tr>
      <w:tr w:rsidR="003E6536" w:rsidRPr="00350B7A" w:rsidTr="00E65743">
        <w:trPr>
          <w:trHeight w:val="252"/>
        </w:trPr>
        <w:tc>
          <w:tcPr>
            <w:tcW w:w="0" w:type="auto"/>
            <w:tcBorders>
              <w:bottom w:val="single" w:sz="12" w:space="0" w:color="auto"/>
            </w:tcBorders>
          </w:tcPr>
          <w:p w:rsidR="003E6536" w:rsidRPr="00350B7A" w:rsidRDefault="003E6536" w:rsidP="003E6536">
            <w:pPr>
              <w:numPr>
                <w:ilvl w:val="0"/>
                <w:numId w:val="49"/>
              </w:numPr>
              <w:spacing w:after="0" w:line="240" w:lineRule="auto"/>
              <w:ind w:firstLine="0"/>
              <w:rPr>
                <w:rFonts w:ascii="Times New Roman" w:eastAsia="Calisto MT" w:hAnsi="Times New Roman" w:cs="TimesLTStd-Roman"/>
                <w:b/>
                <w:color w:val="000000"/>
                <w:sz w:val="20"/>
                <w:szCs w:val="16"/>
              </w:rPr>
            </w:pPr>
            <w:r w:rsidRPr="00350B7A">
              <w:rPr>
                <w:rFonts w:ascii="Times New Roman" w:eastAsia="Calisto MT" w:hAnsi="Times New Roman" w:cs="TimesLTStd-Roman"/>
                <w:b/>
                <w:color w:val="000000"/>
                <w:sz w:val="20"/>
                <w:szCs w:val="16"/>
              </w:rPr>
              <w:t>Mean (S.D.)</w:t>
            </w:r>
          </w:p>
        </w:tc>
        <w:tc>
          <w:tcPr>
            <w:tcW w:w="0" w:type="auto"/>
            <w:tcBorders>
              <w:bottom w:val="single" w:sz="12" w:space="0" w:color="auto"/>
            </w:tcBorders>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0.81 (0.37)</w:t>
            </w:r>
          </w:p>
        </w:tc>
        <w:tc>
          <w:tcPr>
            <w:tcW w:w="0" w:type="auto"/>
            <w:tcBorders>
              <w:bottom w:val="single" w:sz="12" w:space="0" w:color="auto"/>
            </w:tcBorders>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0.68 (0.42)</w:t>
            </w:r>
          </w:p>
        </w:tc>
        <w:tc>
          <w:tcPr>
            <w:tcW w:w="0" w:type="auto"/>
            <w:tcBorders>
              <w:bottom w:val="single" w:sz="12" w:space="0" w:color="auto"/>
            </w:tcBorders>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0.48 (0.42)</w:t>
            </w:r>
          </w:p>
        </w:tc>
        <w:tc>
          <w:tcPr>
            <w:tcW w:w="0" w:type="auto"/>
            <w:tcBorders>
              <w:bottom w:val="single" w:sz="12" w:space="0" w:color="auto"/>
            </w:tcBorders>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0.46 (0.42)</w:t>
            </w:r>
          </w:p>
        </w:tc>
        <w:tc>
          <w:tcPr>
            <w:tcW w:w="0" w:type="auto"/>
            <w:tcBorders>
              <w:bottom w:val="single" w:sz="12" w:space="0" w:color="auto"/>
            </w:tcBorders>
          </w:tcPr>
          <w:p w:rsidR="003E6536" w:rsidRPr="00350B7A" w:rsidRDefault="003E6536" w:rsidP="003E6536">
            <w:pPr>
              <w:spacing w:after="0" w:line="240" w:lineRule="auto"/>
              <w:jc w:val="center"/>
              <w:rPr>
                <w:rFonts w:ascii="Times New Roman" w:eastAsia="Calisto MT" w:hAnsi="Times New Roman" w:cs="TimesLTStd-Roman"/>
                <w:color w:val="000000"/>
                <w:sz w:val="20"/>
                <w:szCs w:val="16"/>
              </w:rPr>
            </w:pPr>
            <w:r w:rsidRPr="00350B7A">
              <w:rPr>
                <w:rFonts w:ascii="Times New Roman" w:eastAsia="Calisto MT" w:hAnsi="Times New Roman" w:cs="TimesLTStd-Roman"/>
                <w:color w:val="000000"/>
                <w:sz w:val="20"/>
                <w:szCs w:val="16"/>
              </w:rPr>
              <w:t>0.27 (0.37)</w:t>
            </w:r>
          </w:p>
        </w:tc>
      </w:tr>
    </w:tbl>
    <w:p w:rsidR="003E6536" w:rsidRPr="00350B7A" w:rsidRDefault="003E6536" w:rsidP="003E6536">
      <w:pPr>
        <w:pStyle w:val="MDPI31text"/>
      </w:pPr>
    </w:p>
    <w:p w:rsidR="003E6536" w:rsidRPr="00350B7A" w:rsidRDefault="003E6536" w:rsidP="003E6536">
      <w:pPr>
        <w:pStyle w:val="MDPI31text"/>
      </w:pPr>
      <w:r w:rsidRPr="00350B7A">
        <w:t>The table shows a decrease in investment in the public good from 0.85 for very low scores to less than half the initial endowment for scores higher than 3.5. While the trend is similar even when dividing by gender, the numbers are less straight forward for females than for males. The decreasing trend only holds for females scoring higher or equal to 3, while the few females scoring below this threshold do not show a clear trend. Further tests were run for the great variety of personality and economic traits we had collected in the online survey and no other variable showed a statistical significance similar to the rational ability measure.</w:t>
      </w:r>
    </w:p>
    <w:p w:rsidR="003E6536" w:rsidRPr="00350B7A" w:rsidRDefault="003E6536" w:rsidP="003E6536">
      <w:pPr>
        <w:pStyle w:val="MDPI31text"/>
      </w:pPr>
      <w:r w:rsidRPr="00350B7A">
        <w:t>In the next step, a regression analysis was used to see if the statistical significance holds when adding additional variables. Table 3 shows the results of the regression analysis with robust standard errors. Model 1 is the simplest model, only including rational ability, risk aversion, and age. In Model 2 we add gender</w:t>
      </w:r>
      <w:r w:rsidR="00A90D3D" w:rsidRPr="00350B7A">
        <w:t xml:space="preserve"> and group size</w:t>
      </w:r>
      <w:r w:rsidRPr="00350B7A">
        <w:t xml:space="preserve"> and in model 3 we control for college related variables, such as the amount of years the participant has been in college, the college the participant attends and their major. In Model 4 we add control variables for social cognition with a Mind in the Eyes test score and for general intelligence through the Wonderlic score. Besides age, none of the control variables showed statistical significance in any of the models.</w:t>
      </w:r>
    </w:p>
    <w:p w:rsidR="00E65743" w:rsidRPr="00350B7A" w:rsidRDefault="00E65743" w:rsidP="00E65743">
      <w:pPr>
        <w:pStyle w:val="MDPI41tablecaption"/>
        <w:jc w:val="center"/>
      </w:pPr>
      <w:r w:rsidRPr="00350B7A">
        <w:rPr>
          <w:b/>
        </w:rPr>
        <w:t>Table 3.</w:t>
      </w:r>
      <w:r w:rsidRPr="00350B7A">
        <w:t xml:space="preserve"> Regression results: PG contribution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1544"/>
        <w:gridCol w:w="1544"/>
        <w:gridCol w:w="1544"/>
        <w:gridCol w:w="1541"/>
      </w:tblGrid>
      <w:tr w:rsidR="00E65743" w:rsidRPr="00350B7A" w:rsidTr="00E65743">
        <w:tc>
          <w:tcPr>
            <w:tcW w:w="1510" w:type="pct"/>
            <w:tcBorders>
              <w:top w:val="single" w:sz="12" w:space="0" w:color="auto"/>
              <w:bottom w:val="single" w:sz="12" w:space="0" w:color="auto"/>
            </w:tcBorders>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PG contribution</w:t>
            </w:r>
          </w:p>
        </w:tc>
        <w:tc>
          <w:tcPr>
            <w:tcW w:w="873" w:type="pct"/>
            <w:tcBorders>
              <w:top w:val="single" w:sz="12" w:space="0" w:color="auto"/>
              <w:bottom w:val="single" w:sz="12" w:space="0" w:color="auto"/>
            </w:tcBorders>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b/>
                <w:color w:val="000000"/>
                <w:sz w:val="20"/>
                <w:szCs w:val="20"/>
              </w:rPr>
            </w:pPr>
            <w:r w:rsidRPr="00350B7A">
              <w:rPr>
                <w:rFonts w:ascii="Times New Roman" w:hAnsi="Times New Roman"/>
                <w:b/>
                <w:color w:val="000000"/>
                <w:sz w:val="20"/>
                <w:szCs w:val="20"/>
              </w:rPr>
              <w:t>Model 1</w:t>
            </w:r>
          </w:p>
        </w:tc>
        <w:tc>
          <w:tcPr>
            <w:tcW w:w="873" w:type="pct"/>
            <w:tcBorders>
              <w:top w:val="single" w:sz="12" w:space="0" w:color="auto"/>
              <w:bottom w:val="single" w:sz="12"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b/>
                <w:color w:val="000000"/>
                <w:sz w:val="20"/>
                <w:szCs w:val="20"/>
              </w:rPr>
            </w:pPr>
            <w:r w:rsidRPr="00350B7A">
              <w:rPr>
                <w:rFonts w:ascii="Times New Roman" w:hAnsi="Times New Roman"/>
                <w:b/>
                <w:color w:val="000000"/>
                <w:sz w:val="20"/>
                <w:szCs w:val="20"/>
              </w:rPr>
              <w:t>Model 2</w:t>
            </w:r>
          </w:p>
        </w:tc>
        <w:tc>
          <w:tcPr>
            <w:tcW w:w="873" w:type="pct"/>
            <w:tcBorders>
              <w:top w:val="single" w:sz="12" w:space="0" w:color="auto"/>
              <w:bottom w:val="single" w:sz="12"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b/>
                <w:color w:val="000000"/>
                <w:sz w:val="20"/>
                <w:szCs w:val="20"/>
              </w:rPr>
            </w:pPr>
            <w:r w:rsidRPr="00350B7A">
              <w:rPr>
                <w:rFonts w:ascii="Times New Roman" w:hAnsi="Times New Roman"/>
                <w:b/>
                <w:color w:val="000000"/>
                <w:sz w:val="20"/>
                <w:szCs w:val="20"/>
              </w:rPr>
              <w:t>Model 3</w:t>
            </w:r>
          </w:p>
        </w:tc>
        <w:tc>
          <w:tcPr>
            <w:tcW w:w="871" w:type="pct"/>
            <w:tcBorders>
              <w:top w:val="single" w:sz="12" w:space="0" w:color="auto"/>
              <w:bottom w:val="single" w:sz="12"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b/>
                <w:color w:val="000000"/>
                <w:sz w:val="20"/>
                <w:szCs w:val="20"/>
              </w:rPr>
            </w:pPr>
            <w:r w:rsidRPr="00350B7A">
              <w:rPr>
                <w:rFonts w:ascii="Times New Roman" w:hAnsi="Times New Roman"/>
                <w:b/>
                <w:color w:val="000000"/>
                <w:sz w:val="20"/>
                <w:szCs w:val="20"/>
              </w:rPr>
              <w:t>Model 4</w:t>
            </w:r>
          </w:p>
        </w:tc>
      </w:tr>
      <w:tr w:rsidR="00E65743" w:rsidRPr="00350B7A" w:rsidTr="00E65743">
        <w:trPr>
          <w:trHeight w:val="673"/>
        </w:trPr>
        <w:tc>
          <w:tcPr>
            <w:tcW w:w="1510" w:type="pct"/>
            <w:tcBorders>
              <w:top w:val="single" w:sz="12" w:space="0" w:color="auto"/>
            </w:tcBorders>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Rational Ability</w:t>
            </w:r>
          </w:p>
        </w:tc>
        <w:tc>
          <w:tcPr>
            <w:tcW w:w="873" w:type="pct"/>
            <w:tcBorders>
              <w:top w:val="single" w:sz="12"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-0.155**</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(0.047)</w:t>
            </w:r>
          </w:p>
        </w:tc>
        <w:tc>
          <w:tcPr>
            <w:tcW w:w="873" w:type="pct"/>
            <w:tcBorders>
              <w:top w:val="single" w:sz="12" w:space="0" w:color="auto"/>
            </w:tcBorders>
            <w:vAlign w:val="center"/>
          </w:tcPr>
          <w:p w:rsidR="00E65743" w:rsidRPr="00350B7A" w:rsidRDefault="00A90D3D"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-0.153</w:t>
            </w:r>
            <w:r w:rsidR="00E65743" w:rsidRPr="00350B7A">
              <w:rPr>
                <w:rFonts w:ascii="Times New Roman" w:hAnsi="Times New Roman"/>
                <w:color w:val="000000"/>
                <w:sz w:val="20"/>
                <w:szCs w:val="20"/>
              </w:rPr>
              <w:t>***</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(0.047)</w:t>
            </w:r>
          </w:p>
        </w:tc>
        <w:tc>
          <w:tcPr>
            <w:tcW w:w="873" w:type="pct"/>
            <w:tcBorders>
              <w:top w:val="single" w:sz="12"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-0.152***</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(0.048)</w:t>
            </w:r>
          </w:p>
        </w:tc>
        <w:tc>
          <w:tcPr>
            <w:tcW w:w="871" w:type="pct"/>
            <w:tcBorders>
              <w:top w:val="single" w:sz="12"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-0.158***</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(0.048)</w:t>
            </w:r>
          </w:p>
        </w:tc>
      </w:tr>
      <w:tr w:rsidR="00E65743" w:rsidRPr="00350B7A" w:rsidTr="00E65743">
        <w:trPr>
          <w:trHeight w:val="630"/>
        </w:trPr>
        <w:tc>
          <w:tcPr>
            <w:tcW w:w="1510" w:type="pct"/>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Risk Aversion</w:t>
            </w:r>
          </w:p>
        </w:tc>
        <w:tc>
          <w:tcPr>
            <w:tcW w:w="873"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-0.001</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(0.075)</w:t>
            </w:r>
          </w:p>
        </w:tc>
        <w:tc>
          <w:tcPr>
            <w:tcW w:w="873" w:type="pct"/>
            <w:vAlign w:val="center"/>
          </w:tcPr>
          <w:p w:rsidR="00E65743" w:rsidRPr="00350B7A" w:rsidRDefault="00A90D3D"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0.005</w:t>
            </w:r>
          </w:p>
          <w:p w:rsidR="00E65743" w:rsidRPr="00350B7A" w:rsidRDefault="00A90D3D"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(0.076</w:t>
            </w:r>
            <w:r w:rsidR="00E65743" w:rsidRPr="00350B7A">
              <w:rPr>
                <w:rFonts w:ascii="Times New Roman" w:hAnsi="Times New Roman"/>
                <w:color w:val="000000"/>
                <w:sz w:val="20"/>
                <w:szCs w:val="20"/>
              </w:rPr>
              <w:t>)</w:t>
            </w:r>
          </w:p>
        </w:tc>
        <w:tc>
          <w:tcPr>
            <w:tcW w:w="873"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0.002</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(0.079)</w:t>
            </w:r>
          </w:p>
        </w:tc>
        <w:tc>
          <w:tcPr>
            <w:tcW w:w="871"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-0.012</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(0.080)</w:t>
            </w:r>
          </w:p>
        </w:tc>
      </w:tr>
      <w:tr w:rsidR="00E65743" w:rsidRPr="00350B7A" w:rsidTr="00E65743">
        <w:trPr>
          <w:trHeight w:val="630"/>
        </w:trPr>
        <w:tc>
          <w:tcPr>
            <w:tcW w:w="1510" w:type="pct"/>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Age</w:t>
            </w:r>
          </w:p>
        </w:tc>
        <w:tc>
          <w:tcPr>
            <w:tcW w:w="873"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0.037**</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(0.012)</w:t>
            </w:r>
          </w:p>
        </w:tc>
        <w:tc>
          <w:tcPr>
            <w:tcW w:w="873" w:type="pct"/>
            <w:vAlign w:val="center"/>
          </w:tcPr>
          <w:p w:rsidR="00E65743" w:rsidRPr="00350B7A" w:rsidRDefault="00A90D3D"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0.043</w:t>
            </w:r>
            <w:r w:rsidR="00E65743" w:rsidRPr="00350B7A">
              <w:rPr>
                <w:rFonts w:ascii="Times New Roman" w:hAnsi="Times New Roman"/>
                <w:color w:val="000000"/>
                <w:sz w:val="20"/>
                <w:szCs w:val="20"/>
              </w:rPr>
              <w:t>**</w:t>
            </w:r>
          </w:p>
          <w:p w:rsidR="00E65743" w:rsidRPr="00350B7A" w:rsidRDefault="00E65743" w:rsidP="00A90D3D">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(0.01</w:t>
            </w:r>
            <w:r w:rsidR="00A90D3D" w:rsidRPr="00350B7A">
              <w:rPr>
                <w:rFonts w:ascii="Times New Roman" w:hAnsi="Times New Roman"/>
                <w:color w:val="000000"/>
                <w:sz w:val="20"/>
                <w:szCs w:val="20"/>
              </w:rPr>
              <w:t>3</w:t>
            </w:r>
            <w:r w:rsidRPr="00350B7A">
              <w:rPr>
                <w:rFonts w:ascii="Times New Roman" w:hAnsi="Times New Roman"/>
                <w:color w:val="000000"/>
                <w:sz w:val="20"/>
                <w:szCs w:val="20"/>
              </w:rPr>
              <w:t>)</w:t>
            </w:r>
          </w:p>
        </w:tc>
        <w:tc>
          <w:tcPr>
            <w:tcW w:w="873"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0.030</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(0.017)</w:t>
            </w:r>
          </w:p>
        </w:tc>
        <w:tc>
          <w:tcPr>
            <w:tcW w:w="871"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0.029</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(0.018)</w:t>
            </w:r>
          </w:p>
        </w:tc>
      </w:tr>
      <w:tr w:rsidR="00E65743" w:rsidRPr="00350B7A" w:rsidTr="00E65743">
        <w:trPr>
          <w:trHeight w:val="630"/>
        </w:trPr>
        <w:tc>
          <w:tcPr>
            <w:tcW w:w="1510" w:type="pct"/>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Male</w:t>
            </w:r>
          </w:p>
        </w:tc>
        <w:tc>
          <w:tcPr>
            <w:tcW w:w="873"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p>
        </w:tc>
        <w:tc>
          <w:tcPr>
            <w:tcW w:w="873" w:type="pct"/>
            <w:vAlign w:val="center"/>
          </w:tcPr>
          <w:p w:rsidR="00E65743" w:rsidRPr="00350B7A" w:rsidRDefault="00A90D3D"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0.015</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(0.061)</w:t>
            </w:r>
          </w:p>
        </w:tc>
        <w:tc>
          <w:tcPr>
            <w:tcW w:w="873"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0.030</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(0.071)</w:t>
            </w:r>
          </w:p>
        </w:tc>
        <w:tc>
          <w:tcPr>
            <w:tcW w:w="871"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0.043</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(0.074)</w:t>
            </w:r>
          </w:p>
        </w:tc>
      </w:tr>
      <w:tr w:rsidR="00A90D3D" w:rsidRPr="00350B7A" w:rsidTr="00E65743">
        <w:trPr>
          <w:trHeight w:val="630"/>
        </w:trPr>
        <w:tc>
          <w:tcPr>
            <w:tcW w:w="1510" w:type="pct"/>
            <w:vAlign w:val="center"/>
          </w:tcPr>
          <w:p w:rsidR="00A90D3D" w:rsidRPr="00350B7A" w:rsidRDefault="00A90D3D"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Group Size</w:t>
            </w:r>
          </w:p>
        </w:tc>
        <w:tc>
          <w:tcPr>
            <w:tcW w:w="873" w:type="pct"/>
            <w:vAlign w:val="center"/>
          </w:tcPr>
          <w:p w:rsidR="00A90D3D" w:rsidRPr="00350B7A" w:rsidRDefault="00A90D3D"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p>
        </w:tc>
        <w:tc>
          <w:tcPr>
            <w:tcW w:w="873" w:type="pct"/>
            <w:vAlign w:val="center"/>
          </w:tcPr>
          <w:p w:rsidR="00A90D3D" w:rsidRPr="00350B7A" w:rsidRDefault="00A90D3D"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-0.014</w:t>
            </w:r>
          </w:p>
          <w:p w:rsidR="00A90D3D" w:rsidRPr="00350B7A" w:rsidRDefault="00A90D3D"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(0.012)</w:t>
            </w:r>
          </w:p>
        </w:tc>
        <w:tc>
          <w:tcPr>
            <w:tcW w:w="873" w:type="pct"/>
            <w:vAlign w:val="center"/>
          </w:tcPr>
          <w:p w:rsidR="00A90D3D" w:rsidRPr="00350B7A" w:rsidRDefault="00A90D3D"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p>
        </w:tc>
        <w:tc>
          <w:tcPr>
            <w:tcW w:w="871" w:type="pct"/>
            <w:vAlign w:val="center"/>
          </w:tcPr>
          <w:p w:rsidR="00A90D3D" w:rsidRPr="00350B7A" w:rsidRDefault="00A90D3D"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p>
        </w:tc>
      </w:tr>
      <w:tr w:rsidR="00E65743" w:rsidRPr="00350B7A" w:rsidTr="00E65743">
        <w:trPr>
          <w:trHeight w:val="630"/>
        </w:trPr>
        <w:tc>
          <w:tcPr>
            <w:tcW w:w="1510" w:type="pct"/>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Years in College</w:t>
            </w:r>
          </w:p>
        </w:tc>
        <w:tc>
          <w:tcPr>
            <w:tcW w:w="873"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p>
        </w:tc>
        <w:tc>
          <w:tcPr>
            <w:tcW w:w="873"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p>
        </w:tc>
        <w:tc>
          <w:tcPr>
            <w:tcW w:w="873"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0.015</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(0.044)</w:t>
            </w:r>
          </w:p>
        </w:tc>
        <w:tc>
          <w:tcPr>
            <w:tcW w:w="871"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0.022</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(0.045)</w:t>
            </w:r>
          </w:p>
        </w:tc>
      </w:tr>
      <w:tr w:rsidR="00E65743" w:rsidRPr="00350B7A" w:rsidTr="00E65743">
        <w:trPr>
          <w:trHeight w:val="630"/>
        </w:trPr>
        <w:tc>
          <w:tcPr>
            <w:tcW w:w="1510" w:type="pct"/>
            <w:tcBorders>
              <w:bottom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Constant</w:t>
            </w:r>
          </w:p>
        </w:tc>
        <w:tc>
          <w:tcPr>
            <w:tcW w:w="873" w:type="pct"/>
            <w:tcBorders>
              <w:bottom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0.206</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(0.348)</w:t>
            </w:r>
          </w:p>
        </w:tc>
        <w:tc>
          <w:tcPr>
            <w:tcW w:w="873" w:type="pct"/>
            <w:tcBorders>
              <w:bottom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0.188</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(0.352)</w:t>
            </w:r>
          </w:p>
        </w:tc>
        <w:tc>
          <w:tcPr>
            <w:tcW w:w="873" w:type="pct"/>
            <w:tcBorders>
              <w:bottom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0.087</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(0.402)</w:t>
            </w:r>
          </w:p>
        </w:tc>
        <w:tc>
          <w:tcPr>
            <w:tcW w:w="871" w:type="pct"/>
            <w:tcBorders>
              <w:bottom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0.521</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(0.562)</w:t>
            </w:r>
          </w:p>
        </w:tc>
      </w:tr>
      <w:tr w:rsidR="00E65743" w:rsidRPr="00350B7A" w:rsidTr="00E65743">
        <w:tc>
          <w:tcPr>
            <w:tcW w:w="1510" w:type="pct"/>
            <w:tcBorders>
              <w:top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Control Variables</w:t>
            </w:r>
          </w:p>
        </w:tc>
        <w:tc>
          <w:tcPr>
            <w:tcW w:w="873" w:type="pct"/>
            <w:tcBorders>
              <w:top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No</w:t>
            </w:r>
          </w:p>
        </w:tc>
        <w:tc>
          <w:tcPr>
            <w:tcW w:w="873" w:type="pct"/>
            <w:tcBorders>
              <w:top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No</w:t>
            </w:r>
          </w:p>
        </w:tc>
        <w:tc>
          <w:tcPr>
            <w:tcW w:w="873" w:type="pct"/>
            <w:tcBorders>
              <w:top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College, Major</w:t>
            </w:r>
          </w:p>
        </w:tc>
        <w:tc>
          <w:tcPr>
            <w:tcW w:w="871" w:type="pct"/>
            <w:tcBorders>
              <w:top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College, Major, Wonderlic Score, Mind in the Eyes score</w:t>
            </w:r>
          </w:p>
        </w:tc>
      </w:tr>
      <w:tr w:rsidR="00E65743" w:rsidRPr="00350B7A" w:rsidTr="00E65743">
        <w:tc>
          <w:tcPr>
            <w:tcW w:w="1510" w:type="pct"/>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R2</w:t>
            </w:r>
          </w:p>
        </w:tc>
        <w:tc>
          <w:tcPr>
            <w:tcW w:w="873"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0.138</w:t>
            </w:r>
          </w:p>
        </w:tc>
        <w:tc>
          <w:tcPr>
            <w:tcW w:w="873" w:type="pct"/>
            <w:vAlign w:val="center"/>
          </w:tcPr>
          <w:p w:rsidR="00E65743" w:rsidRPr="00350B7A" w:rsidRDefault="00A90D3D"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0.145</w:t>
            </w:r>
          </w:p>
        </w:tc>
        <w:tc>
          <w:tcPr>
            <w:tcW w:w="873"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0.156</w:t>
            </w:r>
          </w:p>
        </w:tc>
        <w:tc>
          <w:tcPr>
            <w:tcW w:w="871"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0.166</w:t>
            </w:r>
          </w:p>
        </w:tc>
      </w:tr>
      <w:tr w:rsidR="00E65743" w:rsidRPr="00350B7A" w:rsidTr="00E65743">
        <w:tc>
          <w:tcPr>
            <w:tcW w:w="1510" w:type="pct"/>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Adjusted R2</w:t>
            </w:r>
          </w:p>
        </w:tc>
        <w:tc>
          <w:tcPr>
            <w:tcW w:w="873"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0.119</w:t>
            </w:r>
          </w:p>
        </w:tc>
        <w:tc>
          <w:tcPr>
            <w:tcW w:w="873" w:type="pct"/>
            <w:vAlign w:val="center"/>
          </w:tcPr>
          <w:p w:rsidR="00E65743" w:rsidRPr="00350B7A" w:rsidRDefault="00A90D3D"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0.114</w:t>
            </w:r>
          </w:p>
        </w:tc>
        <w:tc>
          <w:tcPr>
            <w:tcW w:w="873"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0.090</w:t>
            </w:r>
          </w:p>
        </w:tc>
        <w:tc>
          <w:tcPr>
            <w:tcW w:w="871"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0.088</w:t>
            </w:r>
          </w:p>
        </w:tc>
      </w:tr>
      <w:tr w:rsidR="00E65743" w:rsidRPr="00350B7A" w:rsidTr="00E65743">
        <w:tc>
          <w:tcPr>
            <w:tcW w:w="1510" w:type="pct"/>
            <w:tcBorders>
              <w:bottom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F</w:t>
            </w:r>
          </w:p>
        </w:tc>
        <w:tc>
          <w:tcPr>
            <w:tcW w:w="873" w:type="pct"/>
            <w:tcBorders>
              <w:bottom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11.46***</w:t>
            </w:r>
          </w:p>
        </w:tc>
        <w:tc>
          <w:tcPr>
            <w:tcW w:w="873" w:type="pct"/>
            <w:tcBorders>
              <w:bottom w:val="single" w:sz="8" w:space="0" w:color="auto"/>
            </w:tcBorders>
            <w:vAlign w:val="center"/>
          </w:tcPr>
          <w:p w:rsidR="00E65743" w:rsidRPr="00350B7A" w:rsidRDefault="00A90D3D" w:rsidP="00A90D3D">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7</w:t>
            </w:r>
            <w:r w:rsidR="00E65743" w:rsidRPr="00350B7A">
              <w:rPr>
                <w:rFonts w:ascii="Times New Roman" w:hAnsi="Times New Roman"/>
                <w:color w:val="000000"/>
                <w:sz w:val="20"/>
                <w:szCs w:val="20"/>
              </w:rPr>
              <w:t>.</w:t>
            </w:r>
            <w:r w:rsidRPr="00350B7A">
              <w:rPr>
                <w:rFonts w:ascii="Times New Roman" w:hAnsi="Times New Roman"/>
                <w:color w:val="000000"/>
                <w:sz w:val="20"/>
                <w:szCs w:val="20"/>
              </w:rPr>
              <w:t>712</w:t>
            </w:r>
            <w:r w:rsidR="00E65743" w:rsidRPr="00350B7A">
              <w:rPr>
                <w:rFonts w:ascii="Times New Roman" w:hAnsi="Times New Roman"/>
                <w:color w:val="000000"/>
                <w:sz w:val="20"/>
                <w:szCs w:val="20"/>
              </w:rPr>
              <w:t>***</w:t>
            </w:r>
          </w:p>
        </w:tc>
        <w:tc>
          <w:tcPr>
            <w:tcW w:w="873" w:type="pct"/>
            <w:tcBorders>
              <w:bottom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4.306***</w:t>
            </w:r>
          </w:p>
        </w:tc>
        <w:tc>
          <w:tcPr>
            <w:tcW w:w="871" w:type="pct"/>
            <w:tcBorders>
              <w:bottom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3.544***</w:t>
            </w:r>
          </w:p>
        </w:tc>
      </w:tr>
      <w:tr w:rsidR="00E65743" w:rsidRPr="00350B7A" w:rsidTr="00E65743">
        <w:tc>
          <w:tcPr>
            <w:tcW w:w="5000" w:type="pct"/>
            <w:gridSpan w:val="5"/>
            <w:tcBorders>
              <w:bottom w:val="single" w:sz="12" w:space="0" w:color="auto"/>
            </w:tcBorders>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color w:val="000000"/>
                <w:sz w:val="20"/>
                <w:szCs w:val="20"/>
              </w:rPr>
            </w:pPr>
            <w:r w:rsidRPr="00350B7A">
              <w:rPr>
                <w:rFonts w:ascii="Times New Roman" w:hAnsi="Times New Roman"/>
                <w:sz w:val="20"/>
                <w:szCs w:val="20"/>
              </w:rPr>
              <w:t>N=140, *p&lt;.05, **p&lt;.01, ***p&lt;.001, Standard Errors in parentheses</w:t>
            </w:r>
          </w:p>
        </w:tc>
      </w:tr>
    </w:tbl>
    <w:p w:rsidR="003E6536" w:rsidRPr="00350B7A" w:rsidRDefault="003E6536" w:rsidP="003E6536">
      <w:pPr>
        <w:pStyle w:val="MDPI31text"/>
      </w:pPr>
    </w:p>
    <w:p w:rsidR="00E65743" w:rsidRPr="00350B7A" w:rsidRDefault="00E65743" w:rsidP="00E65743">
      <w:pPr>
        <w:pStyle w:val="MDPI31text"/>
      </w:pPr>
      <w:r w:rsidRPr="00350B7A">
        <w:t xml:space="preserve">Rational ability shows statistically significant and negative coefficients with a similar value of about -0.15 for all three models. As predicted by standard economic theory we find that the higher the score of a participant on the rational ability scale, the less likely that participant is to invest in the public good. </w:t>
      </w:r>
    </w:p>
    <w:p w:rsidR="00E65743" w:rsidRPr="00350B7A" w:rsidRDefault="00E65743" w:rsidP="00E65743">
      <w:pPr>
        <w:pStyle w:val="MDPI31text"/>
      </w:pPr>
      <w:r w:rsidRPr="00350B7A">
        <w:t>Adding the variable male</w:t>
      </w:r>
      <w:r w:rsidR="00A90D3D" w:rsidRPr="00350B7A">
        <w:t xml:space="preserve"> and group size</w:t>
      </w:r>
      <w:r w:rsidRPr="00350B7A">
        <w:t xml:space="preserve"> has almost no effect on the other variables and actually decreases the value for the F-test and the adjusted R-squared. Since there is no significant difference in the mean for female and male contribution, it is no surprise that the coefficient for male is not significant. </w:t>
      </w:r>
      <w:r w:rsidR="00A90D3D" w:rsidRPr="00350B7A">
        <w:t>Similarly, table 1 shows that average contribution differs very little between different group sizes, and hence the lack of statistical significance is not surprising.</w:t>
      </w:r>
    </w:p>
    <w:p w:rsidR="00E65743" w:rsidRPr="00350B7A" w:rsidRDefault="00E65743" w:rsidP="00E65743">
      <w:pPr>
        <w:pStyle w:val="MDPI31text"/>
      </w:pPr>
      <w:r w:rsidRPr="00350B7A">
        <w:t xml:space="preserve">One could expect risk aversion to show some effect, however the coefficient does not show statistical significance. In this </w:t>
      </w:r>
      <w:r w:rsidR="00A85322" w:rsidRPr="00350B7A">
        <w:t>case,</w:t>
      </w:r>
      <w:r w:rsidRPr="00350B7A">
        <w:t xml:space="preserve"> the reason might be that investing more rather than a little is not perceived as a risk, because the participant’s choice does not affect the probability of different outcomes. The participant rather dependents on her/his own believe </w:t>
      </w:r>
      <w:r w:rsidR="00A85322" w:rsidRPr="00350B7A">
        <w:t>about</w:t>
      </w:r>
      <w:r w:rsidRPr="00350B7A">
        <w:t xml:space="preserve"> the group’s behavior and strategy. The coefficient for age shows up statistically significant in model 1 and 2 and is positive for all four models. While it is not surprising that older individuals might contribute more to the public good, we do not allow ourselves a reliable interpretation since the coefficient is not statistically significant in model 3 and 4. </w:t>
      </w:r>
    </w:p>
    <w:p w:rsidR="00E65743" w:rsidRPr="00350B7A" w:rsidRDefault="00E65743" w:rsidP="00E65743">
      <w:pPr>
        <w:pStyle w:val="MDPI31text"/>
      </w:pPr>
      <w:r w:rsidRPr="00350B7A">
        <w:t xml:space="preserve">We also tested for the correlation of the remaining personality traits from the REI-40 test - rational engagement, experiential ability, and experiential engagement – and the measures of the Big Five personality factors, however none of the coefficients showed up statistically significant.  In accordance with earlier studies on personality traits and economic </w:t>
      </w:r>
      <w:r w:rsidR="00A85322" w:rsidRPr="00350B7A">
        <w:t>games,</w:t>
      </w:r>
      <w:r w:rsidRPr="00350B7A">
        <w:t xml:space="preserve"> we continue to find that, as much as the tests we apply can measure very specific personality traits, these traits only correlate to behavior in very specific environments. </w:t>
      </w:r>
    </w:p>
    <w:p w:rsidR="003E6536" w:rsidRPr="00350B7A" w:rsidRDefault="00E65743" w:rsidP="00E65743">
      <w:pPr>
        <w:pStyle w:val="MDPI31text"/>
      </w:pPr>
      <w:r w:rsidRPr="00350B7A">
        <w:t>Since model 1 has the highest R-squared and F-test value, we repeat the model for both females and males individually. Table 4 shows the results.</w:t>
      </w:r>
    </w:p>
    <w:p w:rsidR="00E65743" w:rsidRPr="00350B7A" w:rsidRDefault="00E65743" w:rsidP="00E65743">
      <w:pPr>
        <w:pStyle w:val="MDPI41tablecaption"/>
        <w:jc w:val="center"/>
      </w:pPr>
      <w:r w:rsidRPr="00350B7A">
        <w:rPr>
          <w:b/>
        </w:rPr>
        <w:t>Table 4.</w:t>
      </w:r>
      <w:r w:rsidRPr="00350B7A">
        <w:t xml:space="preserve"> Regression results: PG contribution by gender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2211"/>
        <w:gridCol w:w="2211"/>
        <w:gridCol w:w="2211"/>
      </w:tblGrid>
      <w:tr w:rsidR="00E65743" w:rsidRPr="00350B7A" w:rsidTr="00E65743">
        <w:tc>
          <w:tcPr>
            <w:tcW w:w="1250" w:type="pct"/>
            <w:tcBorders>
              <w:top w:val="single" w:sz="12" w:space="0" w:color="auto"/>
              <w:bottom w:val="single" w:sz="12" w:space="0" w:color="auto"/>
            </w:tcBorders>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PG contribution</w:t>
            </w:r>
          </w:p>
        </w:tc>
        <w:tc>
          <w:tcPr>
            <w:tcW w:w="1250" w:type="pct"/>
            <w:tcBorders>
              <w:top w:val="single" w:sz="12" w:space="0" w:color="auto"/>
              <w:bottom w:val="single" w:sz="12" w:space="0" w:color="auto"/>
            </w:tcBorders>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b/>
                <w:color w:val="000000"/>
                <w:sz w:val="20"/>
                <w:szCs w:val="20"/>
              </w:rPr>
            </w:pPr>
            <w:r w:rsidRPr="00350B7A">
              <w:rPr>
                <w:rFonts w:ascii="Times New Roman" w:hAnsi="Times New Roman"/>
                <w:b/>
                <w:color w:val="000000"/>
                <w:sz w:val="20"/>
                <w:szCs w:val="20"/>
              </w:rPr>
              <w:t>All participants</w:t>
            </w:r>
          </w:p>
        </w:tc>
        <w:tc>
          <w:tcPr>
            <w:tcW w:w="1250" w:type="pct"/>
            <w:tcBorders>
              <w:top w:val="single" w:sz="12" w:space="0" w:color="auto"/>
              <w:bottom w:val="single" w:sz="12"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b/>
                <w:color w:val="000000"/>
                <w:sz w:val="20"/>
                <w:szCs w:val="20"/>
              </w:rPr>
            </w:pPr>
            <w:r w:rsidRPr="00350B7A">
              <w:rPr>
                <w:rFonts w:ascii="Times New Roman" w:hAnsi="Times New Roman"/>
                <w:b/>
                <w:color w:val="000000"/>
                <w:sz w:val="20"/>
                <w:szCs w:val="20"/>
              </w:rPr>
              <w:t>Only females</w:t>
            </w:r>
          </w:p>
        </w:tc>
        <w:tc>
          <w:tcPr>
            <w:tcW w:w="1250" w:type="pct"/>
            <w:tcBorders>
              <w:top w:val="single" w:sz="12" w:space="0" w:color="auto"/>
              <w:bottom w:val="single" w:sz="12"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b/>
                <w:color w:val="000000"/>
                <w:sz w:val="20"/>
                <w:szCs w:val="20"/>
              </w:rPr>
            </w:pPr>
            <w:r w:rsidRPr="00350B7A">
              <w:rPr>
                <w:rFonts w:ascii="Times New Roman" w:hAnsi="Times New Roman"/>
                <w:b/>
                <w:color w:val="000000"/>
                <w:sz w:val="20"/>
                <w:szCs w:val="20"/>
              </w:rPr>
              <w:t>Only males</w:t>
            </w:r>
          </w:p>
        </w:tc>
      </w:tr>
      <w:tr w:rsidR="00E65743" w:rsidRPr="00350B7A" w:rsidTr="00E65743">
        <w:trPr>
          <w:trHeight w:val="673"/>
        </w:trPr>
        <w:tc>
          <w:tcPr>
            <w:tcW w:w="1250" w:type="pct"/>
            <w:tcBorders>
              <w:top w:val="single" w:sz="12" w:space="0" w:color="auto"/>
            </w:tcBorders>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Rational Ability</w:t>
            </w:r>
          </w:p>
        </w:tc>
        <w:tc>
          <w:tcPr>
            <w:tcW w:w="1250" w:type="pct"/>
            <w:tcBorders>
              <w:top w:val="single" w:sz="12"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-0.155**</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(0.047)</w:t>
            </w:r>
          </w:p>
        </w:tc>
        <w:tc>
          <w:tcPr>
            <w:tcW w:w="1250" w:type="pct"/>
            <w:tcBorders>
              <w:top w:val="single" w:sz="12"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-0.131</w:t>
            </w:r>
            <w:r w:rsidRPr="00350B7A">
              <w:rPr>
                <w:rFonts w:ascii="Times New Roman" w:hAnsi="Times New Roman"/>
                <w:color w:val="000000"/>
                <w:sz w:val="20"/>
                <w:szCs w:val="20"/>
                <w:vertAlign w:val="superscript"/>
              </w:rPr>
              <w:t>+</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(0.071)</w:t>
            </w:r>
          </w:p>
        </w:tc>
        <w:tc>
          <w:tcPr>
            <w:tcW w:w="1250" w:type="pct"/>
            <w:tcBorders>
              <w:top w:val="single" w:sz="12"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-0.169**</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(0.062)</w:t>
            </w:r>
          </w:p>
        </w:tc>
      </w:tr>
      <w:tr w:rsidR="00E65743" w:rsidRPr="00350B7A" w:rsidTr="00E65743">
        <w:trPr>
          <w:trHeight w:val="630"/>
        </w:trPr>
        <w:tc>
          <w:tcPr>
            <w:tcW w:w="1250" w:type="pct"/>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Risk Aversion</w:t>
            </w:r>
          </w:p>
        </w:tc>
        <w:tc>
          <w:tcPr>
            <w:tcW w:w="1250"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-0.001</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(0.075)</w:t>
            </w:r>
          </w:p>
        </w:tc>
        <w:tc>
          <w:tcPr>
            <w:tcW w:w="1250"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0.006</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(0.105)</w:t>
            </w:r>
          </w:p>
        </w:tc>
        <w:tc>
          <w:tcPr>
            <w:tcW w:w="1250"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0.003</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(0.099)</w:t>
            </w:r>
          </w:p>
        </w:tc>
      </w:tr>
      <w:tr w:rsidR="00E65743" w:rsidRPr="00350B7A" w:rsidTr="00E65743">
        <w:trPr>
          <w:trHeight w:val="630"/>
        </w:trPr>
        <w:tc>
          <w:tcPr>
            <w:tcW w:w="1250" w:type="pct"/>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Age</w:t>
            </w:r>
          </w:p>
        </w:tc>
        <w:tc>
          <w:tcPr>
            <w:tcW w:w="1250"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0.037**</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(0.012)</w:t>
            </w:r>
          </w:p>
        </w:tc>
        <w:tc>
          <w:tcPr>
            <w:tcW w:w="1250"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0.053**</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(0.017)</w:t>
            </w:r>
          </w:p>
        </w:tc>
        <w:tc>
          <w:tcPr>
            <w:tcW w:w="1250"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0.027</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(0.016)</w:t>
            </w:r>
          </w:p>
        </w:tc>
      </w:tr>
      <w:tr w:rsidR="00E65743" w:rsidRPr="00350B7A" w:rsidTr="00E65743">
        <w:trPr>
          <w:trHeight w:val="630"/>
        </w:trPr>
        <w:tc>
          <w:tcPr>
            <w:tcW w:w="1250" w:type="pct"/>
            <w:tcBorders>
              <w:bottom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Constant</w:t>
            </w:r>
          </w:p>
        </w:tc>
        <w:tc>
          <w:tcPr>
            <w:tcW w:w="1250" w:type="pct"/>
            <w:tcBorders>
              <w:bottom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0.206</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(0.348)</w:t>
            </w:r>
          </w:p>
        </w:tc>
        <w:tc>
          <w:tcPr>
            <w:tcW w:w="1250" w:type="pct"/>
            <w:tcBorders>
              <w:bottom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-0.226</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(0.497)</w:t>
            </w:r>
          </w:p>
        </w:tc>
        <w:tc>
          <w:tcPr>
            <w:tcW w:w="1250" w:type="pct"/>
            <w:tcBorders>
              <w:bottom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0.472</w:t>
            </w:r>
          </w:p>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(0.471)</w:t>
            </w:r>
          </w:p>
        </w:tc>
      </w:tr>
      <w:tr w:rsidR="00E65743" w:rsidRPr="00350B7A" w:rsidTr="00E65743">
        <w:tc>
          <w:tcPr>
            <w:tcW w:w="1250" w:type="pct"/>
            <w:tcBorders>
              <w:top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Control Variables</w:t>
            </w:r>
          </w:p>
        </w:tc>
        <w:tc>
          <w:tcPr>
            <w:tcW w:w="1250" w:type="pct"/>
            <w:tcBorders>
              <w:top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No</w:t>
            </w:r>
          </w:p>
        </w:tc>
        <w:tc>
          <w:tcPr>
            <w:tcW w:w="1250" w:type="pct"/>
            <w:tcBorders>
              <w:top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No</w:t>
            </w:r>
          </w:p>
        </w:tc>
        <w:tc>
          <w:tcPr>
            <w:tcW w:w="1250" w:type="pct"/>
            <w:tcBorders>
              <w:top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No</w:t>
            </w:r>
          </w:p>
        </w:tc>
      </w:tr>
      <w:tr w:rsidR="00E65743" w:rsidRPr="00350B7A" w:rsidTr="00E65743">
        <w:tc>
          <w:tcPr>
            <w:tcW w:w="1250" w:type="pct"/>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R2</w:t>
            </w:r>
          </w:p>
        </w:tc>
        <w:tc>
          <w:tcPr>
            <w:tcW w:w="1250"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0.138</w:t>
            </w:r>
          </w:p>
        </w:tc>
        <w:tc>
          <w:tcPr>
            <w:tcW w:w="1250"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0.180</w:t>
            </w:r>
          </w:p>
        </w:tc>
        <w:tc>
          <w:tcPr>
            <w:tcW w:w="1250"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0.126</w:t>
            </w:r>
          </w:p>
        </w:tc>
      </w:tr>
      <w:tr w:rsidR="00E65743" w:rsidRPr="00350B7A" w:rsidTr="00E65743">
        <w:tc>
          <w:tcPr>
            <w:tcW w:w="1250" w:type="pct"/>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Adjusted R2</w:t>
            </w:r>
          </w:p>
        </w:tc>
        <w:tc>
          <w:tcPr>
            <w:tcW w:w="1250"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0.119</w:t>
            </w:r>
          </w:p>
        </w:tc>
        <w:tc>
          <w:tcPr>
            <w:tcW w:w="1250"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0.131</w:t>
            </w:r>
          </w:p>
        </w:tc>
        <w:tc>
          <w:tcPr>
            <w:tcW w:w="1250"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0.094</w:t>
            </w:r>
          </w:p>
        </w:tc>
      </w:tr>
      <w:tr w:rsidR="00E65743" w:rsidRPr="00350B7A" w:rsidTr="00E65743">
        <w:tc>
          <w:tcPr>
            <w:tcW w:w="1250" w:type="pct"/>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F</w:t>
            </w:r>
          </w:p>
        </w:tc>
        <w:tc>
          <w:tcPr>
            <w:tcW w:w="1250"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11.46***</w:t>
            </w:r>
          </w:p>
        </w:tc>
        <w:tc>
          <w:tcPr>
            <w:tcW w:w="1250"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6.617***</w:t>
            </w:r>
          </w:p>
        </w:tc>
        <w:tc>
          <w:tcPr>
            <w:tcW w:w="1250" w:type="pct"/>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6.27***</w:t>
            </w:r>
          </w:p>
        </w:tc>
      </w:tr>
      <w:tr w:rsidR="00E65743" w:rsidRPr="00350B7A" w:rsidTr="00E65743">
        <w:tc>
          <w:tcPr>
            <w:tcW w:w="1250" w:type="pct"/>
            <w:tcBorders>
              <w:bottom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N</w:t>
            </w:r>
          </w:p>
        </w:tc>
        <w:tc>
          <w:tcPr>
            <w:tcW w:w="1250" w:type="pct"/>
            <w:tcBorders>
              <w:bottom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140</w:t>
            </w:r>
          </w:p>
        </w:tc>
        <w:tc>
          <w:tcPr>
            <w:tcW w:w="1250" w:type="pct"/>
            <w:tcBorders>
              <w:bottom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55</w:t>
            </w:r>
          </w:p>
        </w:tc>
        <w:tc>
          <w:tcPr>
            <w:tcW w:w="1250" w:type="pct"/>
            <w:tcBorders>
              <w:bottom w:val="single" w:sz="8" w:space="0" w:color="auto"/>
            </w:tcBorders>
            <w:vAlign w:val="center"/>
          </w:tcPr>
          <w:p w:rsidR="00E65743" w:rsidRPr="00350B7A" w:rsidRDefault="00E65743" w:rsidP="00E65743">
            <w:pPr>
              <w:widowControl w:val="0"/>
              <w:overflowPunct w:val="0"/>
              <w:autoSpaceDE w:val="0"/>
              <w:autoSpaceDN w:val="0"/>
              <w:adjustRightInd w:val="0"/>
              <w:spacing w:after="0" w:line="240" w:lineRule="auto"/>
              <w:jc w:val="center"/>
              <w:rPr>
                <w:rFonts w:ascii="Times New Roman" w:hAnsi="Times New Roman"/>
                <w:color w:val="000000"/>
                <w:sz w:val="20"/>
                <w:szCs w:val="20"/>
              </w:rPr>
            </w:pPr>
            <w:r w:rsidRPr="00350B7A">
              <w:rPr>
                <w:rFonts w:ascii="Times New Roman" w:hAnsi="Times New Roman"/>
                <w:color w:val="000000"/>
                <w:sz w:val="20"/>
                <w:szCs w:val="20"/>
              </w:rPr>
              <w:t>85</w:t>
            </w:r>
          </w:p>
        </w:tc>
      </w:tr>
      <w:tr w:rsidR="00E65743" w:rsidRPr="00350B7A" w:rsidTr="00E65743">
        <w:tc>
          <w:tcPr>
            <w:tcW w:w="5000" w:type="pct"/>
            <w:gridSpan w:val="4"/>
            <w:tcBorders>
              <w:bottom w:val="single" w:sz="12" w:space="0" w:color="auto"/>
            </w:tcBorders>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color w:val="000000"/>
                <w:sz w:val="20"/>
                <w:szCs w:val="20"/>
              </w:rPr>
            </w:pPr>
            <w:r w:rsidRPr="00350B7A">
              <w:rPr>
                <w:rFonts w:ascii="Times New Roman" w:hAnsi="Times New Roman"/>
                <w:sz w:val="20"/>
                <w:szCs w:val="20"/>
                <w:vertAlign w:val="superscript"/>
              </w:rPr>
              <w:t>+</w:t>
            </w:r>
            <w:r w:rsidRPr="00350B7A">
              <w:rPr>
                <w:rFonts w:ascii="Times New Roman" w:hAnsi="Times New Roman"/>
                <w:sz w:val="20"/>
                <w:szCs w:val="20"/>
              </w:rPr>
              <w:t>p&lt;0.1 *p&lt;.05, **p&lt;.01, ***p&lt;.001, Standard Errors in parentheses</w:t>
            </w:r>
          </w:p>
        </w:tc>
      </w:tr>
    </w:tbl>
    <w:p w:rsidR="007B78A4" w:rsidRPr="00350B7A" w:rsidRDefault="007B78A4" w:rsidP="00E65743">
      <w:pPr>
        <w:pStyle w:val="MDPI31text"/>
      </w:pPr>
    </w:p>
    <w:p w:rsidR="00E65743" w:rsidRPr="00350B7A" w:rsidRDefault="00E65743" w:rsidP="00E65743">
      <w:pPr>
        <w:pStyle w:val="MDPI31text"/>
      </w:pPr>
      <w:r w:rsidRPr="00350B7A">
        <w:t xml:space="preserve">The model ‘all participants’ is the same model as model 1 in table 3 and was added to the table for easier comparison. </w:t>
      </w:r>
    </w:p>
    <w:p w:rsidR="00E65743" w:rsidRPr="00350B7A" w:rsidRDefault="00E65743" w:rsidP="00E65743">
      <w:pPr>
        <w:pStyle w:val="MDPI31text"/>
      </w:pPr>
      <w:r w:rsidRPr="00350B7A">
        <w:t xml:space="preserve">Age, which is statistically significant in the ‘all participants’ model, turns out to be only statistically significant for the ‘only females’ model. There are no gender-related distributional differences in age; hence, we can only conclude that age indeed has a stronger effect among females than males. </w:t>
      </w:r>
    </w:p>
    <w:p w:rsidR="00E65743" w:rsidRPr="00350B7A" w:rsidRDefault="00E65743" w:rsidP="00E65743">
      <w:pPr>
        <w:pStyle w:val="MDPI31text"/>
      </w:pPr>
      <w:r w:rsidRPr="00350B7A">
        <w:t>The coefficient for rational ability is statistically significant in the model for ‘all participants’ and the ‘only males’ model. In the ‘only females’ model the statistical significance reduces to only a weak statistical significance. To investigate the reason for this difference we take a closer look at the gender difference for the contribution to the public good.</w:t>
      </w:r>
    </w:p>
    <w:p w:rsidR="003E6536" w:rsidRPr="00350B7A" w:rsidRDefault="00E65743" w:rsidP="003E6536">
      <w:pPr>
        <w:pStyle w:val="MDPI22heading2"/>
      </w:pPr>
      <w:r w:rsidRPr="00350B7A">
        <w:t>3.2. Gender Differences</w:t>
      </w:r>
    </w:p>
    <w:p w:rsidR="00E65743" w:rsidRPr="00350B7A" w:rsidRDefault="00E65743" w:rsidP="00E65743">
      <w:pPr>
        <w:pStyle w:val="MDPI31text"/>
      </w:pPr>
      <w:r w:rsidRPr="00350B7A">
        <w:t>In the summary statistics in table 1 we saw that the value of the standard deviation for all participants does not give an unusual number (S.D.=0.392), however, when grouped by gender, it shows a difference of 0.1 with values of 0.329 for females and 0.429 for males.</w:t>
      </w:r>
    </w:p>
    <w:p w:rsidR="00E65743" w:rsidRPr="00350B7A" w:rsidRDefault="00E65743" w:rsidP="00E65743">
      <w:pPr>
        <w:pStyle w:val="MDPI31text"/>
      </w:pPr>
      <w:r w:rsidRPr="00350B7A">
        <w:t>The nature of the difference in distribution becomes more obvious in Figure 1. Females tend to give about 50% of their initial endowment to the public good with a few outliers at the edges of the contribution. Males are more strongly divided and give either very low contributions or very high contributions.</w:t>
      </w:r>
    </w:p>
    <w:p w:rsidR="00E65743" w:rsidRPr="00350B7A" w:rsidRDefault="00E65743" w:rsidP="00E65743">
      <w:pPr>
        <w:pStyle w:val="MDPI31text"/>
      </w:pPr>
    </w:p>
    <w:p w:rsidR="00E65743" w:rsidRPr="00350B7A" w:rsidRDefault="00E65743" w:rsidP="00E65743">
      <w:pPr>
        <w:pStyle w:val="MDPI31text"/>
      </w:pPr>
      <w:r w:rsidRPr="00350B7A">
        <w:rPr>
          <w:rFonts w:ascii="Times New Roman" w:hAnsi="Times New Roman"/>
          <w:noProof/>
          <w:lang w:eastAsia="en-US" w:bidi="ar-SA"/>
        </w:rPr>
        <w:drawing>
          <wp:inline distT="0" distB="0" distL="0" distR="0" wp14:anchorId="20BDA79E" wp14:editId="26D4141E">
            <wp:extent cx="4940300" cy="352806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40300" cy="3528060"/>
                    </a:xfrm>
                    <a:prstGeom prst="rect">
                      <a:avLst/>
                    </a:prstGeom>
                  </pic:spPr>
                </pic:pic>
              </a:graphicData>
            </a:graphic>
          </wp:inline>
        </w:drawing>
      </w:r>
    </w:p>
    <w:p w:rsidR="00E65743" w:rsidRPr="00350B7A" w:rsidRDefault="00E65743" w:rsidP="00E65743">
      <w:pPr>
        <w:pStyle w:val="MDPI51figurecaption"/>
        <w:jc w:val="center"/>
      </w:pPr>
      <w:r w:rsidRPr="00350B7A">
        <w:rPr>
          <w:b/>
        </w:rPr>
        <w:t xml:space="preserve">Figure 1. </w:t>
      </w:r>
      <w:r w:rsidRPr="00350B7A">
        <w:t>Public Goods Contribution by Gender</w:t>
      </w:r>
    </w:p>
    <w:p w:rsidR="00E65743" w:rsidRPr="00350B7A" w:rsidRDefault="00E65743" w:rsidP="00E65743">
      <w:pPr>
        <w:pStyle w:val="MDPI31text"/>
      </w:pPr>
      <w:r w:rsidRPr="00350B7A">
        <w:t>The gender difference in the standard deviation of the amount invested in the public good is confirmed by the statistical significance of a variance ratio test. This test has the null hypothesis that the ratio of the standard deviations from two groups is equal to 1. Table 5 below shows that the null hypothesis is rejected at the 5% level.</w:t>
      </w:r>
    </w:p>
    <w:p w:rsidR="00E65743" w:rsidRPr="00350B7A" w:rsidRDefault="00E65743" w:rsidP="00E65743">
      <w:pPr>
        <w:pStyle w:val="MDPI41tablecaption"/>
        <w:jc w:val="center"/>
      </w:pPr>
      <w:r w:rsidRPr="00350B7A">
        <w:rPr>
          <w:b/>
        </w:rPr>
        <w:t>Table 5.</w:t>
      </w:r>
      <w:r w:rsidRPr="00350B7A">
        <w:t xml:space="preserve">  Variance ratio test for the standard deviations of the amount invested in the public good by females and males</w:t>
      </w:r>
    </w:p>
    <w:tbl>
      <w:tblPr>
        <w:tblStyle w:val="TableGrid"/>
        <w:tblW w:w="333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5"/>
        <w:gridCol w:w="1637"/>
        <w:gridCol w:w="1072"/>
      </w:tblGrid>
      <w:tr w:rsidR="00E65743" w:rsidRPr="00350B7A" w:rsidTr="00E65743">
        <w:trPr>
          <w:jc w:val="center"/>
        </w:trPr>
        <w:tc>
          <w:tcPr>
            <w:tcW w:w="2702" w:type="pct"/>
            <w:tcBorders>
              <w:top w:val="single" w:sz="12" w:space="0" w:color="auto"/>
              <w:bottom w:val="single" w:sz="12" w:space="0" w:color="auto"/>
            </w:tcBorders>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Public Good Contribution</w:t>
            </w:r>
          </w:p>
        </w:tc>
        <w:tc>
          <w:tcPr>
            <w:tcW w:w="1389" w:type="pct"/>
            <w:tcBorders>
              <w:top w:val="single" w:sz="12" w:space="0" w:color="auto"/>
            </w:tcBorders>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Median / Mean</w:t>
            </w:r>
          </w:p>
        </w:tc>
        <w:tc>
          <w:tcPr>
            <w:tcW w:w="909" w:type="pct"/>
            <w:tcBorders>
              <w:top w:val="single" w:sz="12" w:space="0" w:color="auto"/>
            </w:tcBorders>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Std. Dev.</w:t>
            </w:r>
          </w:p>
        </w:tc>
      </w:tr>
      <w:tr w:rsidR="00E65743" w:rsidRPr="00350B7A" w:rsidTr="00E65743">
        <w:trPr>
          <w:jc w:val="center"/>
        </w:trPr>
        <w:tc>
          <w:tcPr>
            <w:tcW w:w="2702" w:type="pct"/>
            <w:tcBorders>
              <w:top w:val="single" w:sz="12" w:space="0" w:color="auto"/>
            </w:tcBorders>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Only Male</w:t>
            </w:r>
          </w:p>
        </w:tc>
        <w:tc>
          <w:tcPr>
            <w:tcW w:w="1389" w:type="pct"/>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color w:val="000000"/>
                <w:sz w:val="20"/>
                <w:szCs w:val="20"/>
              </w:rPr>
            </w:pPr>
            <w:r w:rsidRPr="00350B7A">
              <w:rPr>
                <w:rFonts w:ascii="Times New Roman" w:hAnsi="Times New Roman"/>
                <w:color w:val="000000"/>
                <w:sz w:val="20"/>
                <w:szCs w:val="20"/>
              </w:rPr>
              <w:t>0.50 / 0.517</w:t>
            </w:r>
          </w:p>
        </w:tc>
        <w:tc>
          <w:tcPr>
            <w:tcW w:w="909" w:type="pct"/>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color w:val="000000"/>
                <w:sz w:val="20"/>
                <w:szCs w:val="20"/>
              </w:rPr>
            </w:pPr>
            <w:r w:rsidRPr="00350B7A">
              <w:rPr>
                <w:rFonts w:ascii="Times New Roman" w:hAnsi="Times New Roman"/>
                <w:color w:val="000000"/>
                <w:sz w:val="20"/>
                <w:szCs w:val="20"/>
              </w:rPr>
              <w:t>0.429</w:t>
            </w:r>
          </w:p>
        </w:tc>
      </w:tr>
      <w:tr w:rsidR="00E65743" w:rsidRPr="00350B7A" w:rsidTr="00E65743">
        <w:trPr>
          <w:jc w:val="center"/>
        </w:trPr>
        <w:tc>
          <w:tcPr>
            <w:tcW w:w="2702" w:type="pct"/>
            <w:tcBorders>
              <w:bottom w:val="single" w:sz="8" w:space="0" w:color="auto"/>
            </w:tcBorders>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b/>
                <w:color w:val="000000"/>
                <w:sz w:val="20"/>
                <w:szCs w:val="20"/>
              </w:rPr>
            </w:pPr>
            <w:r w:rsidRPr="00350B7A">
              <w:rPr>
                <w:rFonts w:ascii="Times New Roman" w:hAnsi="Times New Roman"/>
                <w:b/>
                <w:color w:val="000000"/>
                <w:sz w:val="20"/>
                <w:szCs w:val="20"/>
              </w:rPr>
              <w:t>Only Female</w:t>
            </w:r>
          </w:p>
        </w:tc>
        <w:tc>
          <w:tcPr>
            <w:tcW w:w="1389" w:type="pct"/>
            <w:tcBorders>
              <w:bottom w:val="single" w:sz="8" w:space="0" w:color="auto"/>
            </w:tcBorders>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color w:val="000000"/>
                <w:sz w:val="20"/>
                <w:szCs w:val="20"/>
              </w:rPr>
            </w:pPr>
            <w:r w:rsidRPr="00350B7A">
              <w:rPr>
                <w:rFonts w:ascii="Times New Roman" w:hAnsi="Times New Roman"/>
                <w:color w:val="000000"/>
                <w:sz w:val="20"/>
                <w:szCs w:val="20"/>
              </w:rPr>
              <w:t xml:space="preserve">0.50 / 0.478 </w:t>
            </w:r>
          </w:p>
        </w:tc>
        <w:tc>
          <w:tcPr>
            <w:tcW w:w="909" w:type="pct"/>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color w:val="000000"/>
                <w:sz w:val="20"/>
                <w:szCs w:val="20"/>
              </w:rPr>
            </w:pPr>
            <w:r w:rsidRPr="00350B7A">
              <w:rPr>
                <w:rFonts w:ascii="Times New Roman" w:hAnsi="Times New Roman"/>
                <w:color w:val="000000"/>
                <w:sz w:val="20"/>
                <w:szCs w:val="20"/>
              </w:rPr>
              <w:t>0.329</w:t>
            </w:r>
          </w:p>
        </w:tc>
      </w:tr>
      <w:tr w:rsidR="00E65743" w:rsidRPr="00350B7A" w:rsidTr="00E65743">
        <w:trPr>
          <w:jc w:val="center"/>
        </w:trPr>
        <w:tc>
          <w:tcPr>
            <w:tcW w:w="5000" w:type="pct"/>
            <w:gridSpan w:val="3"/>
            <w:tcBorders>
              <w:top w:val="single" w:sz="8" w:space="0" w:color="auto"/>
            </w:tcBorders>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color w:val="000000"/>
                <w:sz w:val="20"/>
                <w:szCs w:val="20"/>
              </w:rPr>
            </w:pPr>
            <w:r w:rsidRPr="00350B7A">
              <w:rPr>
                <w:rFonts w:ascii="Times New Roman" w:hAnsi="Times New Roman"/>
                <w:color w:val="000000"/>
                <w:sz w:val="20"/>
                <w:szCs w:val="20"/>
              </w:rPr>
              <w:t xml:space="preserve">Null Hypothesis: </w:t>
            </w:r>
            <m:oMath>
              <m:r>
                <w:rPr>
                  <w:rFonts w:ascii="Cambria Math" w:hAnsi="Cambria Math"/>
                  <w:color w:val="000000"/>
                  <w:sz w:val="20"/>
                  <w:szCs w:val="20"/>
                </w:rPr>
                <m:t xml:space="preserve">ratio= </m:t>
              </m:r>
              <m:f>
                <m:fPr>
                  <m:ctrlPr>
                    <w:rPr>
                      <w:rFonts w:ascii="Cambria Math" w:hAnsi="Cambria Math"/>
                      <w:i/>
                      <w:color w:val="000000"/>
                      <w:sz w:val="20"/>
                      <w:szCs w:val="20"/>
                    </w:rPr>
                  </m:ctrlPr>
                </m:fPr>
                <m:num>
                  <m:r>
                    <w:rPr>
                      <w:rFonts w:ascii="Cambria Math" w:hAnsi="Cambria Math"/>
                      <w:color w:val="000000"/>
                      <w:sz w:val="20"/>
                      <w:szCs w:val="20"/>
                    </w:rPr>
                    <m:t>sd(female)</m:t>
                  </m:r>
                </m:num>
                <m:den>
                  <m:r>
                    <w:rPr>
                      <w:rFonts w:ascii="Cambria Math" w:hAnsi="Cambria Math"/>
                      <w:color w:val="000000"/>
                      <w:sz w:val="20"/>
                      <w:szCs w:val="20"/>
                    </w:rPr>
                    <m:t>sd(male)</m:t>
                  </m:r>
                </m:den>
              </m:f>
              <m:r>
                <w:rPr>
                  <w:rFonts w:ascii="Cambria Math" w:hAnsi="Cambria Math"/>
                  <w:color w:val="000000"/>
                  <w:sz w:val="20"/>
                  <w:szCs w:val="20"/>
                </w:rPr>
                <m:t>=1</m:t>
              </m:r>
            </m:oMath>
          </w:p>
        </w:tc>
      </w:tr>
      <w:tr w:rsidR="00E65743" w:rsidRPr="00350B7A" w:rsidTr="00E65743">
        <w:trPr>
          <w:jc w:val="center"/>
        </w:trPr>
        <w:tc>
          <w:tcPr>
            <w:tcW w:w="5000" w:type="pct"/>
            <w:gridSpan w:val="3"/>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color w:val="000000"/>
                <w:sz w:val="20"/>
                <w:szCs w:val="20"/>
              </w:rPr>
            </w:pPr>
            <w:r w:rsidRPr="00350B7A">
              <w:rPr>
                <w:rFonts w:ascii="Times New Roman" w:hAnsi="Times New Roman"/>
                <w:b/>
                <w:color w:val="000000"/>
                <w:sz w:val="20"/>
                <w:szCs w:val="20"/>
              </w:rPr>
              <w:t>Alternative Hypothesis:</w:t>
            </w:r>
            <w:r w:rsidRPr="00350B7A">
              <w:rPr>
                <w:rFonts w:ascii="Times New Roman" w:hAnsi="Times New Roman"/>
                <w:color w:val="000000"/>
                <w:sz w:val="20"/>
                <w:szCs w:val="20"/>
              </w:rPr>
              <w:t xml:space="preserve"> ratio &lt; 1, </w:t>
            </w:r>
            <w:r w:rsidRPr="00350B7A">
              <w:rPr>
                <w:rFonts w:ascii="Times New Roman" w:hAnsi="Times New Roman"/>
                <w:b/>
                <w:color w:val="000000"/>
                <w:sz w:val="20"/>
                <w:szCs w:val="20"/>
              </w:rPr>
              <w:t>p=0.0187</w:t>
            </w:r>
          </w:p>
        </w:tc>
      </w:tr>
      <w:tr w:rsidR="00E65743" w:rsidRPr="00350B7A" w:rsidTr="00E65743">
        <w:trPr>
          <w:jc w:val="center"/>
        </w:trPr>
        <w:tc>
          <w:tcPr>
            <w:tcW w:w="5000" w:type="pct"/>
            <w:gridSpan w:val="3"/>
            <w:tcBorders>
              <w:bottom w:val="single" w:sz="8" w:space="0" w:color="auto"/>
            </w:tcBorders>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color w:val="000000"/>
                <w:sz w:val="20"/>
                <w:szCs w:val="20"/>
              </w:rPr>
            </w:pPr>
            <w:r w:rsidRPr="00350B7A">
              <w:rPr>
                <w:rFonts w:ascii="Times New Roman" w:hAnsi="Times New Roman"/>
                <w:b/>
                <w:color w:val="000000"/>
                <w:sz w:val="20"/>
                <w:szCs w:val="20"/>
              </w:rPr>
              <w:t>Alternative Hypothesis:</w:t>
            </w:r>
            <w:r w:rsidRPr="00350B7A">
              <w:rPr>
                <w:rFonts w:ascii="Times New Roman" w:hAnsi="Times New Roman"/>
                <w:color w:val="000000"/>
                <w:sz w:val="20"/>
                <w:szCs w:val="20"/>
              </w:rPr>
              <w:t xml:space="preserve"> ratio ≠ 1, </w:t>
            </w:r>
            <w:r w:rsidRPr="00350B7A">
              <w:rPr>
                <w:rFonts w:ascii="Times New Roman" w:hAnsi="Times New Roman"/>
                <w:b/>
                <w:color w:val="000000"/>
                <w:sz w:val="20"/>
                <w:szCs w:val="20"/>
              </w:rPr>
              <w:t>p=0.0375</w:t>
            </w:r>
          </w:p>
        </w:tc>
      </w:tr>
      <w:tr w:rsidR="00E65743" w:rsidRPr="00350B7A" w:rsidTr="00E65743">
        <w:trPr>
          <w:jc w:val="center"/>
        </w:trPr>
        <w:tc>
          <w:tcPr>
            <w:tcW w:w="5000" w:type="pct"/>
            <w:gridSpan w:val="3"/>
            <w:tcBorders>
              <w:top w:val="single" w:sz="8" w:space="0" w:color="auto"/>
              <w:bottom w:val="single" w:sz="12" w:space="0" w:color="auto"/>
            </w:tcBorders>
          </w:tcPr>
          <w:p w:rsidR="00E65743" w:rsidRPr="00350B7A" w:rsidRDefault="00E65743" w:rsidP="00E65743">
            <w:pPr>
              <w:widowControl w:val="0"/>
              <w:overflowPunct w:val="0"/>
              <w:autoSpaceDE w:val="0"/>
              <w:autoSpaceDN w:val="0"/>
              <w:adjustRightInd w:val="0"/>
              <w:spacing w:after="0" w:line="240" w:lineRule="auto"/>
              <w:rPr>
                <w:rFonts w:ascii="Times New Roman" w:hAnsi="Times New Roman"/>
                <w:color w:val="000000"/>
                <w:sz w:val="20"/>
                <w:szCs w:val="20"/>
              </w:rPr>
            </w:pPr>
            <w:r w:rsidRPr="00350B7A">
              <w:rPr>
                <w:rFonts w:ascii="Times New Roman" w:hAnsi="Times New Roman"/>
                <w:color w:val="000000"/>
                <w:sz w:val="20"/>
                <w:szCs w:val="20"/>
              </w:rPr>
              <w:t>N=140, n=85 (Males), n=55 (Females)</w:t>
            </w:r>
          </w:p>
          <w:p w:rsidR="00E65743" w:rsidRPr="00350B7A" w:rsidRDefault="00E65743" w:rsidP="00E65743">
            <w:pPr>
              <w:widowControl w:val="0"/>
              <w:overflowPunct w:val="0"/>
              <w:autoSpaceDE w:val="0"/>
              <w:autoSpaceDN w:val="0"/>
              <w:adjustRightInd w:val="0"/>
              <w:spacing w:after="0" w:line="240" w:lineRule="auto"/>
              <w:rPr>
                <w:rFonts w:ascii="Times New Roman" w:hAnsi="Times New Roman"/>
                <w:color w:val="000000"/>
                <w:sz w:val="20"/>
                <w:szCs w:val="20"/>
              </w:rPr>
            </w:pPr>
            <w:r w:rsidRPr="00350B7A">
              <w:rPr>
                <w:rFonts w:ascii="Times New Roman" w:hAnsi="Times New Roman"/>
                <w:color w:val="000000"/>
                <w:sz w:val="20"/>
                <w:szCs w:val="20"/>
              </w:rPr>
              <w:t>Notes: We also employed Levene’s T-test to test the null hypothesis that the two population variances are equal. The test rejected the null hypothesis (p=0.0000).</w:t>
            </w:r>
          </w:p>
        </w:tc>
      </w:tr>
    </w:tbl>
    <w:p w:rsidR="00E65743" w:rsidRPr="00350B7A" w:rsidRDefault="00E65743" w:rsidP="00E65743">
      <w:pPr>
        <w:pStyle w:val="MDPI31text"/>
      </w:pPr>
    </w:p>
    <w:p w:rsidR="00E65743" w:rsidRPr="00350B7A" w:rsidRDefault="00E65743" w:rsidP="00E65743">
      <w:pPr>
        <w:pStyle w:val="MDPI31text"/>
      </w:pPr>
      <w:r w:rsidRPr="00350B7A">
        <w:t xml:space="preserve">This difference in behavior between females and males shows up in a variety of research and situations. Closest to the behavior in our public goods game is the finding by Cadsby and Maynes </w:t>
      </w:r>
      <w:r w:rsidRPr="00350B7A">
        <w:fldChar w:fldCharType="begin"/>
      </w:r>
      <w:r w:rsidR="00631347" w:rsidRPr="00350B7A">
        <w:instrText xml:space="preserve"> ADDIN ZOTERO_ITEM CSL_CITATION {"citationID":"a8p38sbnfn","properties":{"formattedCitation":"[30]","plainCitation":"[30]"},"citationItems":[{"id":15,"uris":["http://zotero.org/users/4719949/items/DAM58UDE"],"uri":["http://zotero.org/users/4719949/items/DAM58UDE"],"itemData":{"id":15,"type":"article-journal","title":"Gender and free riding in a threshold public goods game: experimental evidence","container-title":"Journal of economic behavior &amp; organization","page":"603–620","volume":"34","issue":"4","source":"Google Scholar","DOI":"10.1016/S0167-2681(97)00010-3","shortTitle":"Gender and free riding in a threshold public goods game","author":[{"family":"Cadsby","given":"C. Bram"},{"family":"Maynes","given":"Elizabeth"}],"issued":{"date-parts":[["1998"]]}}}],"schema":"https://github.com/citation-style-language/schema/raw/master/csl-citation.json"} </w:instrText>
      </w:r>
      <w:r w:rsidRPr="00350B7A">
        <w:fldChar w:fldCharType="separate"/>
      </w:r>
      <w:r w:rsidR="00631347" w:rsidRPr="00350B7A">
        <w:t>[30]</w:t>
      </w:r>
      <w:r w:rsidRPr="00350B7A">
        <w:fldChar w:fldCharType="end"/>
      </w:r>
      <w:r w:rsidRPr="00350B7A">
        <w:t xml:space="preserve">, who report that females tend to adapt their behavior to be very similar to each other, whereas males behave less dependent on others' behavior. In a meta-study </w:t>
      </w:r>
      <w:r w:rsidRPr="00350B7A">
        <w:fldChar w:fldCharType="begin"/>
      </w:r>
      <w:r w:rsidR="00AA0E8D" w:rsidRPr="00350B7A">
        <w:instrText xml:space="preserve"> ADDIN ZOTERO_ITEM CSL_CITATION {"citationID":"a2gd3g6gt50","properties":{"formattedCitation":"[20]","plainCitation":"[20]","dontUpdate":true},"citationItems":[{"id":14,"uris":["http://zotero.org/users/4719949/items/WLFUR58X"],"uri":["http://zotero.org/users/4719949/items/WLFUR58X"],"itemData":{"id":14,"type":"article-journal","title":"Strong evidence for gender differences in risk taking","container-title":"Journal of Economic Behavior &amp; Organization","page":"50–58","volume":"83","issue":"1","source":"Google Scholar","DOI":"10.1016/j.jebo.2011.06.007","author":[{"family":"Charness","given":"Gary"},{"family":"Gneezy","given":"Uri"}],"issued":{"date-parts":[["2012"]]}}}],"schema":"https://github.com/citation-style-language/schema/raw/master/csl-citation.json"} </w:instrText>
      </w:r>
      <w:r w:rsidRPr="00350B7A">
        <w:fldChar w:fldCharType="end"/>
      </w:r>
      <w:r w:rsidRPr="00350B7A">
        <w:t xml:space="preserve">Charness and Gneezy </w:t>
      </w:r>
      <w:r w:rsidRPr="00350B7A">
        <w:fldChar w:fldCharType="begin"/>
      </w:r>
      <w:r w:rsidR="00631347" w:rsidRPr="00350B7A">
        <w:instrText xml:space="preserve"> ADDIN ZOTERO_ITEM CSL_CITATION {"citationID":"a198jp7doh5","properties":{"formattedCitation":"[31]","plainCitation":"[31]"},"citationItems":[{"id":14,"uris":["http://zotero.org/users/4719949/items/WLFUR58X"],"uri":["http://zotero.org/users/4719949/items/WLFUR58X"],"itemData":{"id":14,"type":"article-journal","title":"Strong evidence for gender differences in risk taking","container-title":"Journal of Economic Behavior &amp; Organization","page":"50–58","volume":"83","issue":"1","source":"Google Scholar","DOI":"10.1016/j.jebo.2011.06.007","author":[{"family":"Charness","given":"Gary"},{"family":"Gneezy","given":"Uri"}],"issued":{"date-parts":[["2012"]]}}}],"schema":"https://github.com/citation-style-language/schema/raw/master/csl-citation.json"} </w:instrText>
      </w:r>
      <w:r w:rsidRPr="00350B7A">
        <w:fldChar w:fldCharType="separate"/>
      </w:r>
      <w:r w:rsidR="00631347" w:rsidRPr="00350B7A">
        <w:t>[31]</w:t>
      </w:r>
      <w:r w:rsidRPr="00350B7A">
        <w:fldChar w:fldCharType="end"/>
      </w:r>
      <w:r w:rsidRPr="00350B7A">
        <w:t xml:space="preserve"> find that “women make smaller investments in the risky asset than do men, and so appear to be financially more risk averse”. It confirms our finding of a less risky behavior, i.e., by choosing the middle path, by females in our public goods game. Furthermore, in a dictator game experiment Andreoni and Vesterlund </w:t>
      </w:r>
      <w:r w:rsidRPr="00350B7A">
        <w:fldChar w:fldCharType="begin"/>
      </w:r>
      <w:r w:rsidR="00631347" w:rsidRPr="00350B7A">
        <w:instrText xml:space="preserve"> ADDIN ZOTERO_ITEM CSL_CITATION {"citationID":"a3audfdc8v","properties":{"formattedCitation":"[32]","plainCitation":"[32]"},"citationItems":[{"id":22,"uris":["http://zotero.org/users/4719949/items/7GTCLI69"],"uri":["http://zotero.org/users/4719949/items/7GTCLI69"],"itemData":{"id":22,"type":"article-journal","title":"Which is the fair sex? Gender differences in altruism","container-title":"The Quarterly Journal of Economics","page":"293–312","volume":"116","issue":"1","source":"Google Scholar","DOI":"10.1162/003355301556419","shortTitle":"Which is the fair sex?","author":[{"family":"Andreoni","given":"James"},{"family":"Vesterlund","given":"Lise"}],"issued":{"date-parts":[["2001"]]}}}],"schema":"https://github.com/citation-style-language/schema/raw/master/csl-citation.json"} </w:instrText>
      </w:r>
      <w:r w:rsidRPr="00350B7A">
        <w:fldChar w:fldCharType="separate"/>
      </w:r>
      <w:r w:rsidR="00631347" w:rsidRPr="00350B7A">
        <w:t>[32]</w:t>
      </w:r>
      <w:r w:rsidRPr="00350B7A">
        <w:fldChar w:fldCharType="end"/>
      </w:r>
      <w:r w:rsidRPr="00350B7A">
        <w:t xml:space="preserve"> find that men are more likely to be either perfectly selfish or perfectly selfless, whereas women behave more “equalitarian” and share the wealth equally. Hauge and Rogeberg </w:t>
      </w:r>
      <w:r w:rsidR="00CE3B16" w:rsidRPr="00350B7A">
        <w:fldChar w:fldCharType="begin"/>
      </w:r>
      <w:r w:rsidR="00631347" w:rsidRPr="00350B7A">
        <w:instrText xml:space="preserve"> ADDIN ZOTERO_ITEM CSL_CITATION {"citationID":"a1d3l2gg4do","properties":{"formattedCitation":"[33]","plainCitation":"[33]"},"citationItems":[{"id":63,"uris":["http://zotero.org/users/4719949/items/226NAZRG"],"uri":["http://zotero.org/users/4719949/items/226NAZRG"],"itemData":{"id":63,"type":"article-journal","title":"Representing Others in a Public Good Game","container-title":"Games","page":"381-393","volume":"6","issue":"3","source":"www.mdpi.com","abstract":"In many important public good situations the decision-making power and authority is delegated to representatives who make binding decisions on behalf of a larger group. The purpose of this study is to compare contribution decisions made by individuals with contribution decisions made by group representatives. We present the results from  a laboratory experiment that compares decisions made by individuals in inter-individual public good games with decisions made by representatives on behalf of their group in  inter-group public good games. Our main finding is that contribution behavior differs between individuals and group representatives, but only for women. While men’s choices are equally self-interested as individuals and group representatives, women make less  self-interested choices as group representatives.","DOI":"10.3390/g6030381","language":"en","author":[{"family":"Hauge","given":"Karen Evelyn"},{"family":"Rogeberg","given":"Ole"}],"issued":{"date-parts":[["2015",9,21]]}}}],"schema":"https://github.com/citation-style-language/schema/raw/master/csl-citation.json"} </w:instrText>
      </w:r>
      <w:r w:rsidR="00CE3B16" w:rsidRPr="00350B7A">
        <w:fldChar w:fldCharType="separate"/>
      </w:r>
      <w:r w:rsidR="00631347" w:rsidRPr="00350B7A">
        <w:t>[33]</w:t>
      </w:r>
      <w:r w:rsidR="00CE3B16" w:rsidRPr="00350B7A">
        <w:fldChar w:fldCharType="end"/>
      </w:r>
      <w:r w:rsidR="00CE3B16" w:rsidRPr="00350B7A">
        <w:t xml:space="preserve"> </w:t>
      </w:r>
      <w:r w:rsidRPr="00350B7A">
        <w:t>also find that</w:t>
      </w:r>
      <w:r w:rsidR="00CE3B16" w:rsidRPr="00350B7A">
        <w:t xml:space="preserve"> women – compared to men - make less self-interested choices when representing a group. </w:t>
      </w:r>
      <w:r w:rsidRPr="00350B7A">
        <w:t xml:space="preserve"> Similarly, in research about the expression of political opinions Atkeson and Rapoport </w:t>
      </w:r>
      <w:r w:rsidRPr="00350B7A">
        <w:fldChar w:fldCharType="begin"/>
      </w:r>
      <w:r w:rsidR="00631347" w:rsidRPr="00350B7A">
        <w:instrText xml:space="preserve"> ADDIN ZOTERO_ITEM CSL_CITATION {"citationID":"aj6fac3ca0","properties":{"formattedCitation":"[34]","plainCitation":"[34]"},"citationItems":[{"id":23,"uris":["http://zotero.org/users/4719949/items/YWUP7GDN"],"uri":["http://zotero.org/users/4719949/items/YWUP7GDN"],"itemData":{"id":23,"type":"article-journal","title":"The more things change the more they stay the same: Examining gender differences in political attitude expression, 1952–2000","container-title":"Public Opinion Quarterly","page":"495–521","volume":"67","issue":"4","source":"Google Scholar","DOI":"10.1086/378961","shortTitle":"The more things change the more they stay the same","author":[{"family":"Atkeson","given":"Lonna Rae"},{"family":"Rapoport","given":"Ronald B."}],"issued":{"date-parts":[["2003"]]}}}],"schema":"https://github.com/citation-style-language/schema/raw/master/csl-citation.json"} </w:instrText>
      </w:r>
      <w:r w:rsidRPr="00350B7A">
        <w:fldChar w:fldCharType="separate"/>
      </w:r>
      <w:r w:rsidR="00631347" w:rsidRPr="00350B7A">
        <w:t>[34]</w:t>
      </w:r>
      <w:r w:rsidRPr="00350B7A">
        <w:fldChar w:fldCharType="end"/>
      </w:r>
      <w:r w:rsidRPr="00350B7A">
        <w:t xml:space="preserve"> show that women do not take as extreme positions as men. </w:t>
      </w:r>
    </w:p>
    <w:p w:rsidR="00E65743" w:rsidRPr="00350B7A" w:rsidRDefault="00E65743" w:rsidP="00E65743">
      <w:pPr>
        <w:pStyle w:val="MDPI31text"/>
      </w:pPr>
      <w:r w:rsidRPr="00350B7A">
        <w:t>The difference in the distribution of the gender contribution explains the less</w:t>
      </w:r>
      <w:r w:rsidR="00D6734B" w:rsidRPr="00350B7A">
        <w:t xml:space="preserve"> statistically significant</w:t>
      </w:r>
      <w:r w:rsidRPr="00350B7A">
        <w:t xml:space="preserve"> coefficient for rational ability in the ‘only females’ model compared to the ‘only males’ model. Since the standard deviation of contribution amounts is significantly smaller for females than for males, the data points move close together. This makes it more difficult to see a clear trend.</w:t>
      </w:r>
    </w:p>
    <w:p w:rsidR="00E65743" w:rsidRPr="00350B7A" w:rsidRDefault="00E65743" w:rsidP="00E65743">
      <w:pPr>
        <w:pStyle w:val="MDPI31text"/>
      </w:pPr>
    </w:p>
    <w:p w:rsidR="00CE3B16" w:rsidRPr="00350B7A" w:rsidRDefault="00CE3B16" w:rsidP="007B78A4">
      <w:pPr>
        <w:pStyle w:val="MDPI21heading1"/>
        <w:rPr>
          <w:lang w:eastAsia="zh-CN"/>
        </w:rPr>
      </w:pPr>
      <w:r w:rsidRPr="00350B7A">
        <w:rPr>
          <w:lang w:eastAsia="zh-CN"/>
        </w:rPr>
        <w:t>4. Conclusion</w:t>
      </w:r>
    </w:p>
    <w:p w:rsidR="00D6734B" w:rsidRPr="00350B7A" w:rsidRDefault="007B78A4" w:rsidP="007B78A4">
      <w:pPr>
        <w:pStyle w:val="MDPI31text"/>
      </w:pPr>
      <w:r w:rsidRPr="00350B7A">
        <w:t>The results in this paper show that rational ability as measured by the REI-40 is a good predictor for behavior in the public goods</w:t>
      </w:r>
      <w:r w:rsidR="005A6ABD" w:rsidRPr="00350B7A">
        <w:t xml:space="preserve"> game. As predicted by rational choice </w:t>
      </w:r>
      <w:r w:rsidRPr="00350B7A">
        <w:t>theory, a more rational individual contributes less to the public goods game.</w:t>
      </w:r>
      <w:r w:rsidR="00D6734B" w:rsidRPr="00350B7A">
        <w:t xml:space="preserve"> Rational ability refers to the individual’s tendency to be analytical and make logical connections, whereas the other thinking style – experiential – refers to being affective (i.e., doing what feels good) and reliant on past experiences </w:t>
      </w:r>
      <w:r w:rsidR="00D6734B" w:rsidRPr="00350B7A">
        <w:fldChar w:fldCharType="begin"/>
      </w:r>
      <w:r w:rsidR="00631347" w:rsidRPr="00350B7A">
        <w:instrText xml:space="preserve"> ADDIN ZOTERO_ITEM CSL_CITATION {"citationID":"a6mgt88o18","properties":{"formattedCitation":"[35]","plainCitation":"[35]"},"citationItems":[{"id":282,"uris":["http://zotero.org/users/4719949/items/62W7667R"],"uri":["http://zotero.org/users/4719949/items/62W7667R"],"itemData":{"id":282,"type":"article-journal","title":"Individual differences in intuitive-experiential and analytical-rational thinking styles","container-title":"Journal of Personality and Social Psychology","page":"390-405","volume":"71","issue":"2","source":"PubMed","abstract":"Two studies provide evidence for the reliability and validity of a new self-report measure of individual differences in intuitive-experiential and analytical-rational thinking based on cognitive-experiential self-theory (CEST). The Rational-Experiential Inventory (REI) was constructed to measure the 2 independent processing modes with a modified Need for Cognition Scale (NFC, J.T. Cacioppo &amp; R.E. Petty, 1982) and a new scale, Faith in Intuition (FI). In Study 1, a factor analysis yielded 2 orthogonal factors corresponding to NFC and FI. Although heuristic processing was determined primarily by FI, NFC also contributed to heuristic responding, in line with CEST. The relation of FI and NFC to coping ability also was examined. In Study 2, the factor structure of the REI was replicated (N = 973). NFC and FI were differentially related to measures of personality, adjustment, achievement, and interpersonal relations.","DOI":"http://dx.doi.org/10.1037/0022-3514.71.2.390","ISSN":"0022-3514","note":"PMID: 8765488","journalAbbreviation":"J Pers Soc Psychol","language":"eng","author":[{"family":"Epstein","given":"S."},{"family":"Pacini","given":"R."},{"family":"Denes-Raj","given":"V."},{"family":"Heier","given":"H."}],"issued":{"date-parts":[["1996",8]]}}}],"schema":"https://github.com/citation-style-language/schema/raw/master/csl-citation.json"} </w:instrText>
      </w:r>
      <w:r w:rsidR="00D6734B" w:rsidRPr="00350B7A">
        <w:fldChar w:fldCharType="separate"/>
      </w:r>
      <w:r w:rsidR="00631347" w:rsidRPr="00350B7A">
        <w:t>[35]</w:t>
      </w:r>
      <w:r w:rsidR="00D6734B" w:rsidRPr="00350B7A">
        <w:fldChar w:fldCharType="end"/>
      </w:r>
      <w:r w:rsidR="00D6734B" w:rsidRPr="00350B7A">
        <w:t xml:space="preserve">. Most interactions in the real world are not ‘one-shot’ and hence have consequences for the individual. This also means that un-cooperative behavior can have negative repercussions in the individual’s future. From these experiences, many </w:t>
      </w:r>
      <w:r w:rsidR="00396DD6" w:rsidRPr="00350B7A">
        <w:t>people learn to intuitively act cooperative, especially if they have an experiential thinking style. An individual with a tendency for a rational thinking style, in contrast, re</w:t>
      </w:r>
      <w:bookmarkStart w:id="2" w:name="_GoBack"/>
      <w:bookmarkEnd w:id="2"/>
      <w:r w:rsidR="00396DD6" w:rsidRPr="00350B7A">
        <w:t xml:space="preserve">lies less on past experiences for their decision making. They take more time to analyze the situation and to elicit whether cooperative behavior maximizes their utility now and in the future. </w:t>
      </w:r>
    </w:p>
    <w:p w:rsidR="00B8691D" w:rsidRPr="00350B7A" w:rsidRDefault="005A6ABD" w:rsidP="007B78A4">
      <w:pPr>
        <w:pStyle w:val="MDPI31text"/>
      </w:pPr>
      <w:r w:rsidRPr="00350B7A">
        <w:t xml:space="preserve"> The</w:t>
      </w:r>
      <w:r w:rsidR="007B78A4" w:rsidRPr="00350B7A">
        <w:t xml:space="preserve"> effect</w:t>
      </w:r>
      <w:r w:rsidRPr="00350B7A">
        <w:t xml:space="preserve"> of rational ability on contributions</w:t>
      </w:r>
      <w:r w:rsidR="007B78A4" w:rsidRPr="00350B7A">
        <w:t xml:space="preserve"> is not only stronger for males than for females, its coefficient is also more statistically significant in an ‘only males’ model. The gender difference in the distribution of the public good contributions explains the higher statistical significance. Our study finds that neither females nor males are shown to be more cooperative, however the distribution of the contribution are significantly different. While the distribution of investment decision made by females is more narrow and centered around the average, for males the distribution looks entirely different. More than 70% of males give at the extremes, while less than 15% contribute around the average value.</w:t>
      </w:r>
    </w:p>
    <w:p w:rsidR="007B78A4" w:rsidRPr="003E6536" w:rsidRDefault="007B78A4" w:rsidP="007B78A4">
      <w:pPr>
        <w:pStyle w:val="MDPI31text"/>
      </w:pPr>
      <w:r w:rsidRPr="00350B7A">
        <w:t>With this study we contribute to the ongoing interdisciplinary research on the relatio</w:t>
      </w:r>
      <w:r>
        <w:t>nship between economic behavior and personality traits. We confirm the intuitive finding that rational individuals contribute less to the public good and are able to explain the gender difference with the distribution of contributions. Future researchers are encouraged to test their populations for distributional differences in their choice of contribution. In addition, one may compare these results to decision making outside of the laboratory. From an evolutionary perspective it seems intuitive that males are more prone to choose an extreme stand in order to distinguish oneself from the rest of the group, whereas women are more likely to behave more in accordance to the norm or average behavior.</w:t>
      </w:r>
    </w:p>
    <w:p w:rsidR="007B78A4" w:rsidRDefault="007B78A4" w:rsidP="00CB4B65">
      <w:pPr>
        <w:pStyle w:val="MDPI62Acknowledgments"/>
        <w:rPr>
          <w:b/>
        </w:rPr>
      </w:pPr>
    </w:p>
    <w:p w:rsidR="00EA6423" w:rsidRPr="002443B3" w:rsidRDefault="00EA6423" w:rsidP="00CB4B65">
      <w:pPr>
        <w:pStyle w:val="MDPI62Acknowledgments"/>
        <w:rPr>
          <w:b/>
        </w:rPr>
      </w:pPr>
      <w:r w:rsidRPr="002443B3">
        <w:rPr>
          <w:b/>
        </w:rPr>
        <w:t>Acknowledgments:</w:t>
      </w:r>
      <w:r w:rsidR="00A65FF4">
        <w:rPr>
          <w:b/>
        </w:rPr>
        <w:t xml:space="preserve"> </w:t>
      </w:r>
      <w:r w:rsidR="00A65FF4">
        <w:t>The study was funded by a grant from the Koch Foundation.</w:t>
      </w:r>
    </w:p>
    <w:p w:rsidR="00EA6423" w:rsidRPr="002443B3" w:rsidRDefault="00EA6423" w:rsidP="00CB4B65">
      <w:pPr>
        <w:pStyle w:val="MDPI63AuthorContributions"/>
      </w:pPr>
      <w:r w:rsidRPr="002443B3">
        <w:rPr>
          <w:b/>
        </w:rPr>
        <w:t xml:space="preserve">Author Contributions: </w:t>
      </w:r>
      <w:r w:rsidR="00A65FF4">
        <w:t>All authors conceived,</w:t>
      </w:r>
      <w:r w:rsidRPr="002443B3">
        <w:t xml:space="preserve"> designed</w:t>
      </w:r>
      <w:r w:rsidR="00A65FF4">
        <w:t xml:space="preserve"> and performed</w:t>
      </w:r>
      <w:r w:rsidRPr="002443B3">
        <w:t xml:space="preserve"> the experiments; </w:t>
      </w:r>
      <w:r w:rsidR="00A65FF4">
        <w:t>H.L.</w:t>
      </w:r>
      <w:r w:rsidRPr="002443B3">
        <w:t xml:space="preserve"> analyzed the data; </w:t>
      </w:r>
      <w:r w:rsidR="00A65FF4">
        <w:t>G.D. and M.B.</w:t>
      </w:r>
      <w:r w:rsidRPr="002443B3">
        <w:t xml:space="preserve"> contributed </w:t>
      </w:r>
      <w:r w:rsidR="00A65FF4">
        <w:t>to the interpretation and discussion of the data analysis and results</w:t>
      </w:r>
      <w:r w:rsidRPr="002443B3">
        <w:t xml:space="preserve">; </w:t>
      </w:r>
      <w:r w:rsidR="00A65FF4">
        <w:t>H.L. wrote the paper.</w:t>
      </w:r>
    </w:p>
    <w:p w:rsidR="00EA6423" w:rsidRPr="002443B3" w:rsidRDefault="00EA6423" w:rsidP="00CB4B65">
      <w:pPr>
        <w:pStyle w:val="MDPI64CoI"/>
      </w:pPr>
      <w:r w:rsidRPr="002443B3">
        <w:rPr>
          <w:b/>
        </w:rPr>
        <w:t>Conflicts of Interest:</w:t>
      </w:r>
      <w:r w:rsidRPr="002443B3">
        <w:t xml:space="preserve"> The authors declare no conflict of interest. The sponsors had no role in the design of the study; in the collection, analyses, or interpretation of data; in the writing of the manuscript, and in the </w:t>
      </w:r>
      <w:r w:rsidR="00A65FF4">
        <w:t>decision to publish the results</w:t>
      </w:r>
      <w:r w:rsidRPr="002443B3">
        <w:t>.</w:t>
      </w:r>
    </w:p>
    <w:p w:rsidR="00EA6423" w:rsidRPr="002443B3" w:rsidRDefault="00EA6423" w:rsidP="00CB4B65">
      <w:pPr>
        <w:pStyle w:val="MDPI21heading1"/>
      </w:pPr>
      <w:r w:rsidRPr="002443B3">
        <w:t>References</w:t>
      </w:r>
    </w:p>
    <w:p w:rsidR="00631347" w:rsidRPr="00631347" w:rsidRDefault="007B78A4" w:rsidP="00631347">
      <w:pPr>
        <w:pStyle w:val="Bibliography"/>
        <w:rPr>
          <w:rFonts w:ascii="Palatino Linotype" w:hAnsi="Palatino Linotype"/>
          <w:sz w:val="18"/>
        </w:rPr>
      </w:pPr>
      <w:r>
        <w:fldChar w:fldCharType="begin"/>
      </w:r>
      <w:r w:rsidR="005A6ABD">
        <w:instrText xml:space="preserve"> ADDIN ZOTERO_BIBL {"custom":[]} CSL_BIBLIOGRAPHY </w:instrText>
      </w:r>
      <w:r>
        <w:fldChar w:fldCharType="separate"/>
      </w:r>
      <w:r w:rsidR="00631347" w:rsidRPr="00631347">
        <w:rPr>
          <w:rFonts w:ascii="Palatino Linotype" w:hAnsi="Palatino Linotype"/>
          <w:sz w:val="18"/>
        </w:rPr>
        <w:t xml:space="preserve">1. </w:t>
      </w:r>
      <w:r w:rsidR="00631347" w:rsidRPr="00631347">
        <w:rPr>
          <w:rFonts w:ascii="Palatino Linotype" w:hAnsi="Palatino Linotype"/>
          <w:sz w:val="18"/>
        </w:rPr>
        <w:tab/>
        <w:t xml:space="preserve">Andreoni, J. Cooperation in public-goods experiments: kindness or confusion? </w:t>
      </w:r>
      <w:r w:rsidR="00631347" w:rsidRPr="00631347">
        <w:rPr>
          <w:rFonts w:ascii="Palatino Linotype" w:hAnsi="Palatino Linotype"/>
          <w:i/>
          <w:iCs/>
          <w:sz w:val="18"/>
        </w:rPr>
        <w:t>Am. Econ. Rev.</w:t>
      </w:r>
      <w:r w:rsidR="00631347" w:rsidRPr="00631347">
        <w:rPr>
          <w:rFonts w:ascii="Palatino Linotype" w:hAnsi="Palatino Linotype"/>
          <w:sz w:val="18"/>
        </w:rPr>
        <w:t xml:space="preserve"> </w:t>
      </w:r>
      <w:r w:rsidR="00631347" w:rsidRPr="00631347">
        <w:rPr>
          <w:rFonts w:ascii="Palatino Linotype" w:hAnsi="Palatino Linotype"/>
          <w:b/>
          <w:bCs/>
          <w:sz w:val="18"/>
        </w:rPr>
        <w:t>1995</w:t>
      </w:r>
      <w:r w:rsidR="00631347" w:rsidRPr="00631347">
        <w:rPr>
          <w:rFonts w:ascii="Palatino Linotype" w:hAnsi="Palatino Linotype"/>
          <w:sz w:val="18"/>
        </w:rPr>
        <w:t>, 891–904.</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2. </w:t>
      </w:r>
      <w:r w:rsidRPr="00631347">
        <w:rPr>
          <w:rFonts w:ascii="Palatino Linotype" w:hAnsi="Palatino Linotype"/>
          <w:sz w:val="18"/>
        </w:rPr>
        <w:tab/>
        <w:t xml:space="preserve">Iturbe-Ormaetxe, I.; Ponti, G.; Tomás, J.; Ubeda, L. Framing effects in public goods: Prospect Theory and experimental evidence. </w:t>
      </w:r>
      <w:r w:rsidRPr="00631347">
        <w:rPr>
          <w:rFonts w:ascii="Palatino Linotype" w:hAnsi="Palatino Linotype"/>
          <w:i/>
          <w:iCs/>
          <w:sz w:val="18"/>
        </w:rPr>
        <w:t>Games Econ. Behav.</w:t>
      </w:r>
      <w:r w:rsidRPr="00631347">
        <w:rPr>
          <w:rFonts w:ascii="Palatino Linotype" w:hAnsi="Palatino Linotype"/>
          <w:sz w:val="18"/>
        </w:rPr>
        <w:t xml:space="preserve"> </w:t>
      </w:r>
      <w:r w:rsidRPr="00631347">
        <w:rPr>
          <w:rFonts w:ascii="Palatino Linotype" w:hAnsi="Palatino Linotype"/>
          <w:b/>
          <w:bCs/>
          <w:sz w:val="18"/>
        </w:rPr>
        <w:t>2011</w:t>
      </w:r>
      <w:r w:rsidRPr="00631347">
        <w:rPr>
          <w:rFonts w:ascii="Palatino Linotype" w:hAnsi="Palatino Linotype"/>
          <w:sz w:val="18"/>
        </w:rPr>
        <w:t xml:space="preserve">, </w:t>
      </w:r>
      <w:r w:rsidRPr="00631347">
        <w:rPr>
          <w:rFonts w:ascii="Palatino Linotype" w:hAnsi="Palatino Linotype"/>
          <w:i/>
          <w:iCs/>
          <w:sz w:val="18"/>
        </w:rPr>
        <w:t>72</w:t>
      </w:r>
      <w:r w:rsidRPr="00631347">
        <w:rPr>
          <w:rFonts w:ascii="Palatino Linotype" w:hAnsi="Palatino Linotype"/>
          <w:sz w:val="18"/>
        </w:rPr>
        <w:t>, 439–447, doi:10.1016/j.geb.2010.10.004.</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3. </w:t>
      </w:r>
      <w:r w:rsidRPr="00631347">
        <w:rPr>
          <w:rFonts w:ascii="Palatino Linotype" w:hAnsi="Palatino Linotype"/>
          <w:sz w:val="18"/>
        </w:rPr>
        <w:tab/>
        <w:t xml:space="preserve">Semmann, D.; Krambeck, H.-J.; Milinski, M. Volunteering leads to rock–paper–scissors dynamics in a public goods game. </w:t>
      </w:r>
      <w:r w:rsidRPr="00631347">
        <w:rPr>
          <w:rFonts w:ascii="Palatino Linotype" w:hAnsi="Palatino Linotype"/>
          <w:i/>
          <w:iCs/>
          <w:sz w:val="18"/>
        </w:rPr>
        <w:t>Nature</w:t>
      </w:r>
      <w:r w:rsidRPr="00631347">
        <w:rPr>
          <w:rFonts w:ascii="Palatino Linotype" w:hAnsi="Palatino Linotype"/>
          <w:sz w:val="18"/>
        </w:rPr>
        <w:t xml:space="preserve"> </w:t>
      </w:r>
      <w:r w:rsidRPr="00631347">
        <w:rPr>
          <w:rFonts w:ascii="Palatino Linotype" w:hAnsi="Palatino Linotype"/>
          <w:b/>
          <w:bCs/>
          <w:sz w:val="18"/>
        </w:rPr>
        <w:t>2003</w:t>
      </w:r>
      <w:r w:rsidRPr="00631347">
        <w:rPr>
          <w:rFonts w:ascii="Palatino Linotype" w:hAnsi="Palatino Linotype"/>
          <w:sz w:val="18"/>
        </w:rPr>
        <w:t xml:space="preserve">, </w:t>
      </w:r>
      <w:r w:rsidRPr="00631347">
        <w:rPr>
          <w:rFonts w:ascii="Palatino Linotype" w:hAnsi="Palatino Linotype"/>
          <w:i/>
          <w:iCs/>
          <w:sz w:val="18"/>
        </w:rPr>
        <w:t>425</w:t>
      </w:r>
      <w:r w:rsidRPr="00631347">
        <w:rPr>
          <w:rFonts w:ascii="Palatino Linotype" w:hAnsi="Palatino Linotype"/>
          <w:sz w:val="18"/>
        </w:rPr>
        <w:t>, 390–393, doi:10.1038/nature01986.</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4. </w:t>
      </w:r>
      <w:r w:rsidRPr="00631347">
        <w:rPr>
          <w:rFonts w:ascii="Palatino Linotype" w:hAnsi="Palatino Linotype"/>
          <w:sz w:val="18"/>
        </w:rPr>
        <w:tab/>
        <w:t xml:space="preserve">Cinyabuguma, M.; Page, T.; Putterman, L. Cooperation under the threat of expulsion in a public goods experiment. </w:t>
      </w:r>
      <w:r w:rsidRPr="00631347">
        <w:rPr>
          <w:rFonts w:ascii="Palatino Linotype" w:hAnsi="Palatino Linotype"/>
          <w:i/>
          <w:iCs/>
          <w:sz w:val="18"/>
        </w:rPr>
        <w:t>J. Public Econ.</w:t>
      </w:r>
      <w:r w:rsidRPr="00631347">
        <w:rPr>
          <w:rFonts w:ascii="Palatino Linotype" w:hAnsi="Palatino Linotype"/>
          <w:sz w:val="18"/>
        </w:rPr>
        <w:t xml:space="preserve"> </w:t>
      </w:r>
      <w:r w:rsidRPr="00631347">
        <w:rPr>
          <w:rFonts w:ascii="Palatino Linotype" w:hAnsi="Palatino Linotype"/>
          <w:b/>
          <w:bCs/>
          <w:sz w:val="18"/>
        </w:rPr>
        <w:t>2005</w:t>
      </w:r>
      <w:r w:rsidRPr="00631347">
        <w:rPr>
          <w:rFonts w:ascii="Palatino Linotype" w:hAnsi="Palatino Linotype"/>
          <w:sz w:val="18"/>
        </w:rPr>
        <w:t xml:space="preserve">, </w:t>
      </w:r>
      <w:r w:rsidRPr="00631347">
        <w:rPr>
          <w:rFonts w:ascii="Palatino Linotype" w:hAnsi="Palatino Linotype"/>
          <w:i/>
          <w:iCs/>
          <w:sz w:val="18"/>
        </w:rPr>
        <w:t>89</w:t>
      </w:r>
      <w:r w:rsidRPr="00631347">
        <w:rPr>
          <w:rFonts w:ascii="Palatino Linotype" w:hAnsi="Palatino Linotype"/>
          <w:sz w:val="18"/>
        </w:rPr>
        <w:t>, 1421–1435, doi:10.1016/j.jpubeco.2004.05.011.</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5. </w:t>
      </w:r>
      <w:r w:rsidRPr="00631347">
        <w:rPr>
          <w:rFonts w:ascii="Palatino Linotype" w:hAnsi="Palatino Linotype"/>
          <w:sz w:val="18"/>
        </w:rPr>
        <w:tab/>
        <w:t xml:space="preserve">Fehr, E.; Gächter, S. Cooperation and Punishment in Public Goods Experiments. </w:t>
      </w:r>
      <w:r w:rsidRPr="00631347">
        <w:rPr>
          <w:rFonts w:ascii="Palatino Linotype" w:hAnsi="Palatino Linotype"/>
          <w:i/>
          <w:iCs/>
          <w:sz w:val="18"/>
        </w:rPr>
        <w:t>Am. Econ. Rev.</w:t>
      </w:r>
      <w:r w:rsidRPr="00631347">
        <w:rPr>
          <w:rFonts w:ascii="Palatino Linotype" w:hAnsi="Palatino Linotype"/>
          <w:sz w:val="18"/>
        </w:rPr>
        <w:t xml:space="preserve"> </w:t>
      </w:r>
      <w:r w:rsidRPr="00631347">
        <w:rPr>
          <w:rFonts w:ascii="Palatino Linotype" w:hAnsi="Palatino Linotype"/>
          <w:b/>
          <w:bCs/>
          <w:sz w:val="18"/>
        </w:rPr>
        <w:t>2000</w:t>
      </w:r>
      <w:r w:rsidRPr="00631347">
        <w:rPr>
          <w:rFonts w:ascii="Palatino Linotype" w:hAnsi="Palatino Linotype"/>
          <w:sz w:val="18"/>
        </w:rPr>
        <w:t xml:space="preserve">, </w:t>
      </w:r>
      <w:r w:rsidRPr="00631347">
        <w:rPr>
          <w:rFonts w:ascii="Palatino Linotype" w:hAnsi="Palatino Linotype"/>
          <w:i/>
          <w:iCs/>
          <w:sz w:val="18"/>
        </w:rPr>
        <w:t>90</w:t>
      </w:r>
      <w:r w:rsidRPr="00631347">
        <w:rPr>
          <w:rFonts w:ascii="Palatino Linotype" w:hAnsi="Palatino Linotype"/>
          <w:sz w:val="18"/>
        </w:rPr>
        <w:t>, 980–994.</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6. </w:t>
      </w:r>
      <w:r w:rsidRPr="00631347">
        <w:rPr>
          <w:rFonts w:ascii="Palatino Linotype" w:hAnsi="Palatino Linotype"/>
          <w:sz w:val="18"/>
        </w:rPr>
        <w:tab/>
        <w:t>Czap, H. J.; Czap, N. V.; Bonakdarian, E. Walk the Talk? The Effect of Voting and Excludability in Public Goods Experiments Available online: https://www.hindawi.com/journals/ecri/2010/768546/abs/ (accessed on Mar 8, 2018).</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7. </w:t>
      </w:r>
      <w:r w:rsidRPr="00631347">
        <w:rPr>
          <w:rFonts w:ascii="Palatino Linotype" w:hAnsi="Palatino Linotype"/>
          <w:sz w:val="18"/>
        </w:rPr>
        <w:tab/>
        <w:t xml:space="preserve">Fosgaard, T. R.; Hansen, L. G.; Wengström, E. Framing and Misperception in Public Good Experiments. </w:t>
      </w:r>
      <w:r w:rsidRPr="00631347">
        <w:rPr>
          <w:rFonts w:ascii="Palatino Linotype" w:hAnsi="Palatino Linotype"/>
          <w:i/>
          <w:iCs/>
          <w:sz w:val="18"/>
        </w:rPr>
        <w:t>Scand. J. Econ.</w:t>
      </w:r>
      <w:r w:rsidRPr="00631347">
        <w:rPr>
          <w:rFonts w:ascii="Palatino Linotype" w:hAnsi="Palatino Linotype"/>
          <w:sz w:val="18"/>
        </w:rPr>
        <w:t xml:space="preserve"> </w:t>
      </w:r>
      <w:r w:rsidRPr="00631347">
        <w:rPr>
          <w:rFonts w:ascii="Palatino Linotype" w:hAnsi="Palatino Linotype"/>
          <w:b/>
          <w:bCs/>
          <w:sz w:val="18"/>
        </w:rPr>
        <w:t>2017</w:t>
      </w:r>
      <w:r w:rsidRPr="00631347">
        <w:rPr>
          <w:rFonts w:ascii="Palatino Linotype" w:hAnsi="Palatino Linotype"/>
          <w:sz w:val="18"/>
        </w:rPr>
        <w:t xml:space="preserve">, </w:t>
      </w:r>
      <w:r w:rsidRPr="00631347">
        <w:rPr>
          <w:rFonts w:ascii="Palatino Linotype" w:hAnsi="Palatino Linotype"/>
          <w:i/>
          <w:iCs/>
          <w:sz w:val="18"/>
        </w:rPr>
        <w:t>119</w:t>
      </w:r>
      <w:r w:rsidRPr="00631347">
        <w:rPr>
          <w:rFonts w:ascii="Palatino Linotype" w:hAnsi="Palatino Linotype"/>
          <w:sz w:val="18"/>
        </w:rPr>
        <w:t>, 435–456, doi:10.1111/sjoe.12165.</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8. </w:t>
      </w:r>
      <w:r w:rsidRPr="00631347">
        <w:rPr>
          <w:rFonts w:ascii="Palatino Linotype" w:hAnsi="Palatino Linotype"/>
          <w:sz w:val="18"/>
        </w:rPr>
        <w:tab/>
        <w:t xml:space="preserve">Perugini, M.; Tan, J. H.; Zizzo, D. J. Which is the more predictable gender? Public good contribution and personality. </w:t>
      </w:r>
      <w:r w:rsidRPr="00631347">
        <w:rPr>
          <w:rFonts w:ascii="Palatino Linotype" w:hAnsi="Palatino Linotype"/>
          <w:i/>
          <w:iCs/>
          <w:sz w:val="18"/>
        </w:rPr>
        <w:t>Econ. Issues</w:t>
      </w:r>
      <w:r w:rsidRPr="00631347">
        <w:rPr>
          <w:rFonts w:ascii="Palatino Linotype" w:hAnsi="Palatino Linotype"/>
          <w:sz w:val="18"/>
        </w:rPr>
        <w:t xml:space="preserve"> </w:t>
      </w:r>
      <w:r w:rsidRPr="00631347">
        <w:rPr>
          <w:rFonts w:ascii="Palatino Linotype" w:hAnsi="Palatino Linotype"/>
          <w:b/>
          <w:bCs/>
          <w:sz w:val="18"/>
        </w:rPr>
        <w:t>2010</w:t>
      </w:r>
      <w:r w:rsidRPr="00631347">
        <w:rPr>
          <w:rFonts w:ascii="Palatino Linotype" w:hAnsi="Palatino Linotype"/>
          <w:sz w:val="18"/>
        </w:rPr>
        <w:t xml:space="preserve">, </w:t>
      </w:r>
      <w:r w:rsidRPr="00631347">
        <w:rPr>
          <w:rFonts w:ascii="Palatino Linotype" w:hAnsi="Palatino Linotype"/>
          <w:i/>
          <w:iCs/>
          <w:sz w:val="18"/>
        </w:rPr>
        <w:t>15</w:t>
      </w:r>
      <w:r w:rsidRPr="00631347">
        <w:rPr>
          <w:rFonts w:ascii="Palatino Linotype" w:hAnsi="Palatino Linotype"/>
          <w:sz w:val="18"/>
        </w:rPr>
        <w:t>, 83–110.</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9. </w:t>
      </w:r>
      <w:r w:rsidRPr="00631347">
        <w:rPr>
          <w:rFonts w:ascii="Palatino Linotype" w:hAnsi="Palatino Linotype"/>
          <w:sz w:val="18"/>
        </w:rPr>
        <w:tab/>
        <w:t xml:space="preserve">Kurzban, R.; Houser, D. Individual differences in cooperation in a circular public goods game. </w:t>
      </w:r>
      <w:r w:rsidRPr="00631347">
        <w:rPr>
          <w:rFonts w:ascii="Palatino Linotype" w:hAnsi="Palatino Linotype"/>
          <w:i/>
          <w:iCs/>
          <w:sz w:val="18"/>
        </w:rPr>
        <w:t>Eur. J. Personal.</w:t>
      </w:r>
      <w:r w:rsidRPr="00631347">
        <w:rPr>
          <w:rFonts w:ascii="Palatino Linotype" w:hAnsi="Palatino Linotype"/>
          <w:sz w:val="18"/>
        </w:rPr>
        <w:t xml:space="preserve"> </w:t>
      </w:r>
      <w:r w:rsidRPr="00631347">
        <w:rPr>
          <w:rFonts w:ascii="Palatino Linotype" w:hAnsi="Palatino Linotype"/>
          <w:b/>
          <w:bCs/>
          <w:sz w:val="18"/>
        </w:rPr>
        <w:t>2001</w:t>
      </w:r>
      <w:r w:rsidRPr="00631347">
        <w:rPr>
          <w:rFonts w:ascii="Palatino Linotype" w:hAnsi="Palatino Linotype"/>
          <w:sz w:val="18"/>
        </w:rPr>
        <w:t xml:space="preserve">, </w:t>
      </w:r>
      <w:r w:rsidRPr="00631347">
        <w:rPr>
          <w:rFonts w:ascii="Palatino Linotype" w:hAnsi="Palatino Linotype"/>
          <w:i/>
          <w:iCs/>
          <w:sz w:val="18"/>
        </w:rPr>
        <w:t>15</w:t>
      </w:r>
      <w:r w:rsidRPr="00631347">
        <w:rPr>
          <w:rFonts w:ascii="Palatino Linotype" w:hAnsi="Palatino Linotype"/>
          <w:sz w:val="18"/>
        </w:rPr>
        <w:t>, doi:https://doi.org/10.1002/per.420.</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10. </w:t>
      </w:r>
      <w:r w:rsidRPr="00631347">
        <w:rPr>
          <w:rFonts w:ascii="Palatino Linotype" w:hAnsi="Palatino Linotype"/>
          <w:sz w:val="18"/>
        </w:rPr>
        <w:tab/>
        <w:t xml:space="preserve">John, O. P.; Donahue, E. M.; Kentle, R. L. </w:t>
      </w:r>
      <w:r w:rsidRPr="00631347">
        <w:rPr>
          <w:rFonts w:ascii="Palatino Linotype" w:hAnsi="Palatino Linotype"/>
          <w:i/>
          <w:iCs/>
          <w:sz w:val="18"/>
        </w:rPr>
        <w:t>The big five inventory—versions 4a and 54</w:t>
      </w:r>
      <w:r w:rsidRPr="00631347">
        <w:rPr>
          <w:rFonts w:ascii="Palatino Linotype" w:hAnsi="Palatino Linotype"/>
          <w:sz w:val="18"/>
        </w:rPr>
        <w:t>; Berkeley, CA: University of California, Berkeley, Institute of Personality and Social Research, 1991;</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11. </w:t>
      </w:r>
      <w:r w:rsidRPr="00631347">
        <w:rPr>
          <w:rFonts w:ascii="Palatino Linotype" w:hAnsi="Palatino Linotype"/>
          <w:sz w:val="18"/>
        </w:rPr>
        <w:tab/>
        <w:t xml:space="preserve">John, O. P.; Naumann, L. P.; Soto, C. J. Paradigm shift to the integrative big five trait taxonomy. In </w:t>
      </w:r>
      <w:r w:rsidRPr="00631347">
        <w:rPr>
          <w:rFonts w:ascii="Palatino Linotype" w:hAnsi="Palatino Linotype"/>
          <w:i/>
          <w:iCs/>
          <w:sz w:val="18"/>
        </w:rPr>
        <w:t>Handbook of personality: Theory and research</w:t>
      </w:r>
      <w:r w:rsidRPr="00631347">
        <w:rPr>
          <w:rFonts w:ascii="Palatino Linotype" w:hAnsi="Palatino Linotype"/>
          <w:sz w:val="18"/>
        </w:rPr>
        <w:t>; The Guilford Press: New York, London, 2008; pp. 114–158 ISBN 978-1-59385-836-0.</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12. </w:t>
      </w:r>
      <w:r w:rsidRPr="00631347">
        <w:rPr>
          <w:rFonts w:ascii="Palatino Linotype" w:hAnsi="Palatino Linotype"/>
          <w:sz w:val="18"/>
        </w:rPr>
        <w:tab/>
        <w:t xml:space="preserve">Benet-Martinez, V.; John, O. P. Los Cinco Grandes across cultures and ethnic groups: Multitrait-multimethod analyses of the Big Five in Spanish and English. </w:t>
      </w:r>
      <w:r w:rsidRPr="00631347">
        <w:rPr>
          <w:rFonts w:ascii="Palatino Linotype" w:hAnsi="Palatino Linotype"/>
          <w:i/>
          <w:iCs/>
          <w:sz w:val="18"/>
        </w:rPr>
        <w:t>J. Pers. Soc. Psychol.</w:t>
      </w:r>
      <w:r w:rsidRPr="00631347">
        <w:rPr>
          <w:rFonts w:ascii="Palatino Linotype" w:hAnsi="Palatino Linotype"/>
          <w:sz w:val="18"/>
        </w:rPr>
        <w:t xml:space="preserve"> </w:t>
      </w:r>
      <w:r w:rsidRPr="00631347">
        <w:rPr>
          <w:rFonts w:ascii="Palatino Linotype" w:hAnsi="Palatino Linotype"/>
          <w:b/>
          <w:bCs/>
          <w:sz w:val="18"/>
        </w:rPr>
        <w:t>1998</w:t>
      </w:r>
      <w:r w:rsidRPr="00631347">
        <w:rPr>
          <w:rFonts w:ascii="Palatino Linotype" w:hAnsi="Palatino Linotype"/>
          <w:sz w:val="18"/>
        </w:rPr>
        <w:t xml:space="preserve">, </w:t>
      </w:r>
      <w:r w:rsidRPr="00631347">
        <w:rPr>
          <w:rFonts w:ascii="Palatino Linotype" w:hAnsi="Palatino Linotype"/>
          <w:i/>
          <w:iCs/>
          <w:sz w:val="18"/>
        </w:rPr>
        <w:t>75</w:t>
      </w:r>
      <w:r w:rsidRPr="00631347">
        <w:rPr>
          <w:rFonts w:ascii="Palatino Linotype" w:hAnsi="Palatino Linotype"/>
          <w:sz w:val="18"/>
        </w:rPr>
        <w:t>, 729, doi:10.1037/0022-3514.75.3.729.</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13. </w:t>
      </w:r>
      <w:r w:rsidRPr="00631347">
        <w:rPr>
          <w:rFonts w:ascii="Palatino Linotype" w:hAnsi="Palatino Linotype"/>
          <w:sz w:val="18"/>
        </w:rPr>
        <w:tab/>
        <w:t xml:space="preserve">Lu, L.; Argyle, M. Happiness and cooperation. </w:t>
      </w:r>
      <w:r w:rsidRPr="00631347">
        <w:rPr>
          <w:rFonts w:ascii="Palatino Linotype" w:hAnsi="Palatino Linotype"/>
          <w:i/>
          <w:iCs/>
          <w:sz w:val="18"/>
        </w:rPr>
        <w:t>Personal. Individ. Differ.</w:t>
      </w:r>
      <w:r w:rsidRPr="00631347">
        <w:rPr>
          <w:rFonts w:ascii="Palatino Linotype" w:hAnsi="Palatino Linotype"/>
          <w:sz w:val="18"/>
        </w:rPr>
        <w:t xml:space="preserve"> </w:t>
      </w:r>
      <w:r w:rsidRPr="00631347">
        <w:rPr>
          <w:rFonts w:ascii="Palatino Linotype" w:hAnsi="Palatino Linotype"/>
          <w:b/>
          <w:bCs/>
          <w:sz w:val="18"/>
        </w:rPr>
        <w:t>1991</w:t>
      </w:r>
      <w:r w:rsidRPr="00631347">
        <w:rPr>
          <w:rFonts w:ascii="Palatino Linotype" w:hAnsi="Palatino Linotype"/>
          <w:sz w:val="18"/>
        </w:rPr>
        <w:t xml:space="preserve">, </w:t>
      </w:r>
      <w:r w:rsidRPr="00631347">
        <w:rPr>
          <w:rFonts w:ascii="Palatino Linotype" w:hAnsi="Palatino Linotype"/>
          <w:i/>
          <w:iCs/>
          <w:sz w:val="18"/>
        </w:rPr>
        <w:t>12</w:t>
      </w:r>
      <w:r w:rsidRPr="00631347">
        <w:rPr>
          <w:rFonts w:ascii="Palatino Linotype" w:hAnsi="Palatino Linotype"/>
          <w:sz w:val="18"/>
        </w:rPr>
        <w:t>, 1019–1030, doi:https://doi.org/10.1016/0191-8869(91)90032-7.</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14. </w:t>
      </w:r>
      <w:r w:rsidRPr="00631347">
        <w:rPr>
          <w:rFonts w:ascii="Palatino Linotype" w:hAnsi="Palatino Linotype"/>
          <w:sz w:val="18"/>
        </w:rPr>
        <w:tab/>
        <w:t xml:space="preserve">Ashton, M. C.; Paunonen, S. V.; Helmes, E.; Jackson, D. N. Kin altruism, reciprocal altruism, and the Big Five personality factors. </w:t>
      </w:r>
      <w:r w:rsidRPr="00631347">
        <w:rPr>
          <w:rFonts w:ascii="Palatino Linotype" w:hAnsi="Palatino Linotype"/>
          <w:i/>
          <w:iCs/>
          <w:sz w:val="18"/>
        </w:rPr>
        <w:t>Evol. Hum. Behav.</w:t>
      </w:r>
      <w:r w:rsidRPr="00631347">
        <w:rPr>
          <w:rFonts w:ascii="Palatino Linotype" w:hAnsi="Palatino Linotype"/>
          <w:sz w:val="18"/>
        </w:rPr>
        <w:t xml:space="preserve"> </w:t>
      </w:r>
      <w:r w:rsidRPr="00631347">
        <w:rPr>
          <w:rFonts w:ascii="Palatino Linotype" w:hAnsi="Palatino Linotype"/>
          <w:b/>
          <w:bCs/>
          <w:sz w:val="18"/>
        </w:rPr>
        <w:t>1998</w:t>
      </w:r>
      <w:r w:rsidRPr="00631347">
        <w:rPr>
          <w:rFonts w:ascii="Palatino Linotype" w:hAnsi="Palatino Linotype"/>
          <w:sz w:val="18"/>
        </w:rPr>
        <w:t xml:space="preserve">, </w:t>
      </w:r>
      <w:r w:rsidRPr="00631347">
        <w:rPr>
          <w:rFonts w:ascii="Palatino Linotype" w:hAnsi="Palatino Linotype"/>
          <w:i/>
          <w:iCs/>
          <w:sz w:val="18"/>
        </w:rPr>
        <w:t>19</w:t>
      </w:r>
      <w:r w:rsidRPr="00631347">
        <w:rPr>
          <w:rFonts w:ascii="Palatino Linotype" w:hAnsi="Palatino Linotype"/>
          <w:sz w:val="18"/>
        </w:rPr>
        <w:t>, 243–255, doi:10.1016/S1090-5138(98)00009-9.</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15. </w:t>
      </w:r>
      <w:r w:rsidRPr="00631347">
        <w:rPr>
          <w:rFonts w:ascii="Palatino Linotype" w:hAnsi="Palatino Linotype"/>
          <w:sz w:val="18"/>
        </w:rPr>
        <w:tab/>
        <w:t xml:space="preserve">Hirsh, J. B.; Peterson, J. B. Extraversion, neuroticism, and the prisoner’s dilemma. </w:t>
      </w:r>
      <w:r w:rsidRPr="00631347">
        <w:rPr>
          <w:rFonts w:ascii="Palatino Linotype" w:hAnsi="Palatino Linotype"/>
          <w:i/>
          <w:iCs/>
          <w:sz w:val="18"/>
        </w:rPr>
        <w:t>Personal. Individ. Differ.</w:t>
      </w:r>
      <w:r w:rsidRPr="00631347">
        <w:rPr>
          <w:rFonts w:ascii="Palatino Linotype" w:hAnsi="Palatino Linotype"/>
          <w:sz w:val="18"/>
        </w:rPr>
        <w:t xml:space="preserve"> </w:t>
      </w:r>
      <w:r w:rsidRPr="00631347">
        <w:rPr>
          <w:rFonts w:ascii="Palatino Linotype" w:hAnsi="Palatino Linotype"/>
          <w:b/>
          <w:bCs/>
          <w:sz w:val="18"/>
        </w:rPr>
        <w:t>2009</w:t>
      </w:r>
      <w:r w:rsidRPr="00631347">
        <w:rPr>
          <w:rFonts w:ascii="Palatino Linotype" w:hAnsi="Palatino Linotype"/>
          <w:sz w:val="18"/>
        </w:rPr>
        <w:t xml:space="preserve">, </w:t>
      </w:r>
      <w:r w:rsidRPr="00631347">
        <w:rPr>
          <w:rFonts w:ascii="Palatino Linotype" w:hAnsi="Palatino Linotype"/>
          <w:i/>
          <w:iCs/>
          <w:sz w:val="18"/>
        </w:rPr>
        <w:t>46</w:t>
      </w:r>
      <w:r w:rsidRPr="00631347">
        <w:rPr>
          <w:rFonts w:ascii="Palatino Linotype" w:hAnsi="Palatino Linotype"/>
          <w:sz w:val="18"/>
        </w:rPr>
        <w:t>, 254–256, doi:10.1016/j.paid.2008.10.006.</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16. </w:t>
      </w:r>
      <w:r w:rsidRPr="00631347">
        <w:rPr>
          <w:rFonts w:ascii="Palatino Linotype" w:hAnsi="Palatino Linotype"/>
          <w:sz w:val="18"/>
        </w:rPr>
        <w:tab/>
        <w:t xml:space="preserve">Ben-Ner, A.; Kong, F.; Putterman, L. Share and share alike? Gender-pairing, personality, and cognitive ability as determinants of giving. </w:t>
      </w:r>
      <w:r w:rsidRPr="00631347">
        <w:rPr>
          <w:rFonts w:ascii="Palatino Linotype" w:hAnsi="Palatino Linotype"/>
          <w:i/>
          <w:iCs/>
          <w:sz w:val="18"/>
        </w:rPr>
        <w:t>J. Econ. Psychol.</w:t>
      </w:r>
      <w:r w:rsidRPr="00631347">
        <w:rPr>
          <w:rFonts w:ascii="Palatino Linotype" w:hAnsi="Palatino Linotype"/>
          <w:sz w:val="18"/>
        </w:rPr>
        <w:t xml:space="preserve"> </w:t>
      </w:r>
      <w:r w:rsidRPr="00631347">
        <w:rPr>
          <w:rFonts w:ascii="Palatino Linotype" w:hAnsi="Palatino Linotype"/>
          <w:b/>
          <w:bCs/>
          <w:sz w:val="18"/>
        </w:rPr>
        <w:t>2004</w:t>
      </w:r>
      <w:r w:rsidRPr="00631347">
        <w:rPr>
          <w:rFonts w:ascii="Palatino Linotype" w:hAnsi="Palatino Linotype"/>
          <w:sz w:val="18"/>
        </w:rPr>
        <w:t xml:space="preserve">, </w:t>
      </w:r>
      <w:r w:rsidRPr="00631347">
        <w:rPr>
          <w:rFonts w:ascii="Palatino Linotype" w:hAnsi="Palatino Linotype"/>
          <w:i/>
          <w:iCs/>
          <w:sz w:val="18"/>
        </w:rPr>
        <w:t>25</w:t>
      </w:r>
      <w:r w:rsidRPr="00631347">
        <w:rPr>
          <w:rFonts w:ascii="Palatino Linotype" w:hAnsi="Palatino Linotype"/>
          <w:sz w:val="18"/>
        </w:rPr>
        <w:t>, 581–589, doi:10.1016/S0167-4870(03)00065-5.</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17. </w:t>
      </w:r>
      <w:r w:rsidRPr="00631347">
        <w:rPr>
          <w:rFonts w:ascii="Palatino Linotype" w:hAnsi="Palatino Linotype"/>
          <w:sz w:val="18"/>
        </w:rPr>
        <w:tab/>
        <w:t xml:space="preserve">Ben-Ner, A.; Kramer, A. Personality and altruism in the dictator game: Relationship to giving to kin, collaborators, competitors, and neutrals. </w:t>
      </w:r>
      <w:r w:rsidRPr="00631347">
        <w:rPr>
          <w:rFonts w:ascii="Palatino Linotype" w:hAnsi="Palatino Linotype"/>
          <w:i/>
          <w:iCs/>
          <w:sz w:val="18"/>
        </w:rPr>
        <w:t>Personal. Individ. Differ.</w:t>
      </w:r>
      <w:r w:rsidRPr="00631347">
        <w:rPr>
          <w:rFonts w:ascii="Palatino Linotype" w:hAnsi="Palatino Linotype"/>
          <w:sz w:val="18"/>
        </w:rPr>
        <w:t xml:space="preserve"> </w:t>
      </w:r>
      <w:r w:rsidRPr="00631347">
        <w:rPr>
          <w:rFonts w:ascii="Palatino Linotype" w:hAnsi="Palatino Linotype"/>
          <w:b/>
          <w:bCs/>
          <w:sz w:val="18"/>
        </w:rPr>
        <w:t>2011</w:t>
      </w:r>
      <w:r w:rsidRPr="00631347">
        <w:rPr>
          <w:rFonts w:ascii="Palatino Linotype" w:hAnsi="Palatino Linotype"/>
          <w:sz w:val="18"/>
        </w:rPr>
        <w:t xml:space="preserve">, </w:t>
      </w:r>
      <w:r w:rsidRPr="00631347">
        <w:rPr>
          <w:rFonts w:ascii="Palatino Linotype" w:hAnsi="Palatino Linotype"/>
          <w:i/>
          <w:iCs/>
          <w:sz w:val="18"/>
        </w:rPr>
        <w:t>51</w:t>
      </w:r>
      <w:r w:rsidRPr="00631347">
        <w:rPr>
          <w:rFonts w:ascii="Palatino Linotype" w:hAnsi="Palatino Linotype"/>
          <w:sz w:val="18"/>
        </w:rPr>
        <w:t>, 216–221, doi:10.1016/j.paid.2010.04.024.</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18. </w:t>
      </w:r>
      <w:r w:rsidRPr="00631347">
        <w:rPr>
          <w:rFonts w:ascii="Palatino Linotype" w:hAnsi="Palatino Linotype"/>
          <w:sz w:val="18"/>
        </w:rPr>
        <w:tab/>
        <w:t xml:space="preserve">Andreoni, J. Impure Altruism and Donations to Public Goods: A Theory of Warm-Glow Giving. </w:t>
      </w:r>
      <w:r w:rsidRPr="00631347">
        <w:rPr>
          <w:rFonts w:ascii="Palatino Linotype" w:hAnsi="Palatino Linotype"/>
          <w:i/>
          <w:iCs/>
          <w:sz w:val="18"/>
        </w:rPr>
        <w:t>Econ. J.</w:t>
      </w:r>
      <w:r w:rsidRPr="00631347">
        <w:rPr>
          <w:rFonts w:ascii="Palatino Linotype" w:hAnsi="Palatino Linotype"/>
          <w:sz w:val="18"/>
        </w:rPr>
        <w:t xml:space="preserve"> </w:t>
      </w:r>
      <w:r w:rsidRPr="00631347">
        <w:rPr>
          <w:rFonts w:ascii="Palatino Linotype" w:hAnsi="Palatino Linotype"/>
          <w:b/>
          <w:bCs/>
          <w:sz w:val="18"/>
        </w:rPr>
        <w:t>1990</w:t>
      </w:r>
      <w:r w:rsidRPr="00631347">
        <w:rPr>
          <w:rFonts w:ascii="Palatino Linotype" w:hAnsi="Palatino Linotype"/>
          <w:sz w:val="18"/>
        </w:rPr>
        <w:t xml:space="preserve">, </w:t>
      </w:r>
      <w:r w:rsidRPr="00631347">
        <w:rPr>
          <w:rFonts w:ascii="Palatino Linotype" w:hAnsi="Palatino Linotype"/>
          <w:i/>
          <w:iCs/>
          <w:sz w:val="18"/>
        </w:rPr>
        <w:t>100</w:t>
      </w:r>
      <w:r w:rsidRPr="00631347">
        <w:rPr>
          <w:rFonts w:ascii="Palatino Linotype" w:hAnsi="Palatino Linotype"/>
          <w:sz w:val="18"/>
        </w:rPr>
        <w:t>, 464–477, doi:10.2307/2234133.</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19. </w:t>
      </w:r>
      <w:r w:rsidRPr="00631347">
        <w:rPr>
          <w:rFonts w:ascii="Palatino Linotype" w:hAnsi="Palatino Linotype"/>
          <w:sz w:val="18"/>
        </w:rPr>
        <w:tab/>
        <w:t xml:space="preserve">Pacini, R.; Epstein, S. The relation of rational and experiential information processing styles to personality, basic beliefs, and the ratio-bias phenomenon. </w:t>
      </w:r>
      <w:r w:rsidRPr="00631347">
        <w:rPr>
          <w:rFonts w:ascii="Palatino Linotype" w:hAnsi="Palatino Linotype"/>
          <w:i/>
          <w:iCs/>
          <w:sz w:val="18"/>
        </w:rPr>
        <w:t>J. Pers. Soc. Psychol.</w:t>
      </w:r>
      <w:r w:rsidRPr="00631347">
        <w:rPr>
          <w:rFonts w:ascii="Palatino Linotype" w:hAnsi="Palatino Linotype"/>
          <w:sz w:val="18"/>
        </w:rPr>
        <w:t xml:space="preserve"> </w:t>
      </w:r>
      <w:r w:rsidRPr="00631347">
        <w:rPr>
          <w:rFonts w:ascii="Palatino Linotype" w:hAnsi="Palatino Linotype"/>
          <w:b/>
          <w:bCs/>
          <w:sz w:val="18"/>
        </w:rPr>
        <w:t>1999</w:t>
      </w:r>
      <w:r w:rsidRPr="00631347">
        <w:rPr>
          <w:rFonts w:ascii="Palatino Linotype" w:hAnsi="Palatino Linotype"/>
          <w:sz w:val="18"/>
        </w:rPr>
        <w:t xml:space="preserve">, </w:t>
      </w:r>
      <w:r w:rsidRPr="00631347">
        <w:rPr>
          <w:rFonts w:ascii="Palatino Linotype" w:hAnsi="Palatino Linotype"/>
          <w:i/>
          <w:iCs/>
          <w:sz w:val="18"/>
        </w:rPr>
        <w:t>76</w:t>
      </w:r>
      <w:r w:rsidRPr="00631347">
        <w:rPr>
          <w:rFonts w:ascii="Palatino Linotype" w:hAnsi="Palatino Linotype"/>
          <w:sz w:val="18"/>
        </w:rPr>
        <w:t>, 972, doi:https://doi.org/10.1037/0022-3514.76.6.972.</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20. </w:t>
      </w:r>
      <w:r w:rsidRPr="00631347">
        <w:rPr>
          <w:rFonts w:ascii="Palatino Linotype" w:hAnsi="Palatino Linotype"/>
          <w:sz w:val="18"/>
        </w:rPr>
        <w:tab/>
      </w:r>
      <w:r w:rsidRPr="00631347">
        <w:rPr>
          <w:rFonts w:ascii="Palatino Linotype" w:hAnsi="Palatino Linotype"/>
          <w:i/>
          <w:iCs/>
          <w:sz w:val="18"/>
        </w:rPr>
        <w:t>SurveyMonkey</w:t>
      </w:r>
      <w:r w:rsidRPr="00631347">
        <w:rPr>
          <w:rFonts w:ascii="Palatino Linotype" w:hAnsi="Palatino Linotype"/>
          <w:sz w:val="18"/>
        </w:rPr>
        <w:t>;</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21. </w:t>
      </w:r>
      <w:r w:rsidRPr="00631347">
        <w:rPr>
          <w:rFonts w:ascii="Palatino Linotype" w:hAnsi="Palatino Linotype"/>
          <w:sz w:val="18"/>
        </w:rPr>
        <w:tab/>
        <w:t xml:space="preserve">Wonderlic, E. F. </w:t>
      </w:r>
      <w:r w:rsidRPr="00631347">
        <w:rPr>
          <w:rFonts w:ascii="Palatino Linotype" w:hAnsi="Palatino Linotype"/>
          <w:i/>
          <w:iCs/>
          <w:sz w:val="18"/>
        </w:rPr>
        <w:t>Wonderlic Personnel Test and Scholastic Level Exam: User’s manual</w:t>
      </w:r>
      <w:r w:rsidRPr="00631347">
        <w:rPr>
          <w:rFonts w:ascii="Palatino Linotype" w:hAnsi="Palatino Linotype"/>
          <w:sz w:val="18"/>
        </w:rPr>
        <w:t>; Wonderlic and Associates: Northfield, IL, 1992;</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22. </w:t>
      </w:r>
      <w:r w:rsidRPr="00631347">
        <w:rPr>
          <w:rFonts w:ascii="Palatino Linotype" w:hAnsi="Palatino Linotype"/>
          <w:sz w:val="18"/>
        </w:rPr>
        <w:tab/>
        <w:t xml:space="preserve">Holt, C. A.; Laury, S. K. Risk aversion and incentive effects. </w:t>
      </w:r>
      <w:r w:rsidRPr="00631347">
        <w:rPr>
          <w:rFonts w:ascii="Palatino Linotype" w:hAnsi="Palatino Linotype"/>
          <w:i/>
          <w:iCs/>
          <w:sz w:val="18"/>
        </w:rPr>
        <w:t>Am. Econ. Rev.</w:t>
      </w:r>
      <w:r w:rsidRPr="00631347">
        <w:rPr>
          <w:rFonts w:ascii="Palatino Linotype" w:hAnsi="Palatino Linotype"/>
          <w:sz w:val="18"/>
        </w:rPr>
        <w:t xml:space="preserve"> </w:t>
      </w:r>
      <w:r w:rsidRPr="00631347">
        <w:rPr>
          <w:rFonts w:ascii="Palatino Linotype" w:hAnsi="Palatino Linotype"/>
          <w:b/>
          <w:bCs/>
          <w:sz w:val="18"/>
        </w:rPr>
        <w:t>2002</w:t>
      </w:r>
      <w:r w:rsidRPr="00631347">
        <w:rPr>
          <w:rFonts w:ascii="Palatino Linotype" w:hAnsi="Palatino Linotype"/>
          <w:sz w:val="18"/>
        </w:rPr>
        <w:t xml:space="preserve">, </w:t>
      </w:r>
      <w:r w:rsidRPr="00631347">
        <w:rPr>
          <w:rFonts w:ascii="Palatino Linotype" w:hAnsi="Palatino Linotype"/>
          <w:i/>
          <w:iCs/>
          <w:sz w:val="18"/>
        </w:rPr>
        <w:t>92</w:t>
      </w:r>
      <w:r w:rsidRPr="00631347">
        <w:rPr>
          <w:rFonts w:ascii="Palatino Linotype" w:hAnsi="Palatino Linotype"/>
          <w:sz w:val="18"/>
        </w:rPr>
        <w:t>, 1644–1655, doi:https://doi.org/10.1257/000282802762024700.</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23. </w:t>
      </w:r>
      <w:r w:rsidRPr="00631347">
        <w:rPr>
          <w:rFonts w:ascii="Palatino Linotype" w:hAnsi="Palatino Linotype"/>
          <w:sz w:val="18"/>
        </w:rPr>
        <w:tab/>
        <w:t xml:space="preserve">Baron-Cohen, S.; Wheelwright, S.; Hill, J.; Raste, Y.; Plumb, I. The “Reading the Mind in the Eyes” Test revised version: a study with normal adults, and adults with Asperger syndrome or high-functioning autism. </w:t>
      </w:r>
      <w:r w:rsidRPr="00631347">
        <w:rPr>
          <w:rFonts w:ascii="Palatino Linotype" w:hAnsi="Palatino Linotype"/>
          <w:i/>
          <w:iCs/>
          <w:sz w:val="18"/>
        </w:rPr>
        <w:t>J. Child Psychol. Psychiatry</w:t>
      </w:r>
      <w:r w:rsidRPr="00631347">
        <w:rPr>
          <w:rFonts w:ascii="Palatino Linotype" w:hAnsi="Palatino Linotype"/>
          <w:sz w:val="18"/>
        </w:rPr>
        <w:t xml:space="preserve"> </w:t>
      </w:r>
      <w:r w:rsidRPr="00631347">
        <w:rPr>
          <w:rFonts w:ascii="Palatino Linotype" w:hAnsi="Palatino Linotype"/>
          <w:b/>
          <w:bCs/>
          <w:sz w:val="18"/>
        </w:rPr>
        <w:t>2001</w:t>
      </w:r>
      <w:r w:rsidRPr="00631347">
        <w:rPr>
          <w:rFonts w:ascii="Palatino Linotype" w:hAnsi="Palatino Linotype"/>
          <w:sz w:val="18"/>
        </w:rPr>
        <w:t xml:space="preserve">, </w:t>
      </w:r>
      <w:r w:rsidRPr="00631347">
        <w:rPr>
          <w:rFonts w:ascii="Palatino Linotype" w:hAnsi="Palatino Linotype"/>
          <w:i/>
          <w:iCs/>
          <w:sz w:val="18"/>
        </w:rPr>
        <w:t>42</w:t>
      </w:r>
      <w:r w:rsidRPr="00631347">
        <w:rPr>
          <w:rFonts w:ascii="Palatino Linotype" w:hAnsi="Palatino Linotype"/>
          <w:sz w:val="18"/>
        </w:rPr>
        <w:t>, 241–251, doi:10.1111/1469-7610.00715.</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24. </w:t>
      </w:r>
      <w:r w:rsidRPr="00631347">
        <w:rPr>
          <w:rFonts w:ascii="Palatino Linotype" w:hAnsi="Palatino Linotype"/>
          <w:sz w:val="18"/>
        </w:rPr>
        <w:tab/>
        <w:t xml:space="preserve">Baron-Cohen, S.; Jolliffe, T.; Mortimore, C.; Robertson, M. Another advanced test of theory of mind: Evidence from very high functioning adults with autism or Asperger syndrome. </w:t>
      </w:r>
      <w:r w:rsidRPr="00631347">
        <w:rPr>
          <w:rFonts w:ascii="Palatino Linotype" w:hAnsi="Palatino Linotype"/>
          <w:i/>
          <w:iCs/>
          <w:sz w:val="18"/>
        </w:rPr>
        <w:t>J. Child Psychol. Psychiatry</w:t>
      </w:r>
      <w:r w:rsidRPr="00631347">
        <w:rPr>
          <w:rFonts w:ascii="Palatino Linotype" w:hAnsi="Palatino Linotype"/>
          <w:sz w:val="18"/>
        </w:rPr>
        <w:t xml:space="preserve"> </w:t>
      </w:r>
      <w:r w:rsidRPr="00631347">
        <w:rPr>
          <w:rFonts w:ascii="Palatino Linotype" w:hAnsi="Palatino Linotype"/>
          <w:b/>
          <w:bCs/>
          <w:sz w:val="18"/>
        </w:rPr>
        <w:t>1997</w:t>
      </w:r>
      <w:r w:rsidRPr="00631347">
        <w:rPr>
          <w:rFonts w:ascii="Palatino Linotype" w:hAnsi="Palatino Linotype"/>
          <w:sz w:val="18"/>
        </w:rPr>
        <w:t xml:space="preserve">, </w:t>
      </w:r>
      <w:r w:rsidRPr="00631347">
        <w:rPr>
          <w:rFonts w:ascii="Palatino Linotype" w:hAnsi="Palatino Linotype"/>
          <w:i/>
          <w:iCs/>
          <w:sz w:val="18"/>
        </w:rPr>
        <w:t>38</w:t>
      </w:r>
      <w:r w:rsidRPr="00631347">
        <w:rPr>
          <w:rFonts w:ascii="Palatino Linotype" w:hAnsi="Palatino Linotype"/>
          <w:sz w:val="18"/>
        </w:rPr>
        <w:t>, 813–822, doi:10.1111/j.1469-7610.1997.tb01599.x.</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25. </w:t>
      </w:r>
      <w:r w:rsidRPr="00631347">
        <w:rPr>
          <w:rFonts w:ascii="Palatino Linotype" w:hAnsi="Palatino Linotype"/>
          <w:sz w:val="18"/>
        </w:rPr>
        <w:tab/>
        <w:t xml:space="preserve">Isaac, R. M.; Walker, J. M.; Williams, A. W. Group size and the voluntary provision of public goods: Experimental evidence utilizing large groups. </w:t>
      </w:r>
      <w:r w:rsidRPr="00631347">
        <w:rPr>
          <w:rFonts w:ascii="Palatino Linotype" w:hAnsi="Palatino Linotype"/>
          <w:i/>
          <w:iCs/>
          <w:sz w:val="18"/>
        </w:rPr>
        <w:t>J. Public Econ.</w:t>
      </w:r>
      <w:r w:rsidRPr="00631347">
        <w:rPr>
          <w:rFonts w:ascii="Palatino Linotype" w:hAnsi="Palatino Linotype"/>
          <w:sz w:val="18"/>
        </w:rPr>
        <w:t xml:space="preserve"> </w:t>
      </w:r>
      <w:r w:rsidRPr="00631347">
        <w:rPr>
          <w:rFonts w:ascii="Palatino Linotype" w:hAnsi="Palatino Linotype"/>
          <w:b/>
          <w:bCs/>
          <w:sz w:val="18"/>
        </w:rPr>
        <w:t>1994</w:t>
      </w:r>
      <w:r w:rsidRPr="00631347">
        <w:rPr>
          <w:rFonts w:ascii="Palatino Linotype" w:hAnsi="Palatino Linotype"/>
          <w:sz w:val="18"/>
        </w:rPr>
        <w:t xml:space="preserve">, </w:t>
      </w:r>
      <w:r w:rsidRPr="00631347">
        <w:rPr>
          <w:rFonts w:ascii="Palatino Linotype" w:hAnsi="Palatino Linotype"/>
          <w:i/>
          <w:iCs/>
          <w:sz w:val="18"/>
        </w:rPr>
        <w:t>54</w:t>
      </w:r>
      <w:r w:rsidRPr="00631347">
        <w:rPr>
          <w:rFonts w:ascii="Palatino Linotype" w:hAnsi="Palatino Linotype"/>
          <w:sz w:val="18"/>
        </w:rPr>
        <w:t>, 1–36, doi:10.1016/0047-2727(94)90068-X.</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26. </w:t>
      </w:r>
      <w:r w:rsidRPr="00631347">
        <w:rPr>
          <w:rFonts w:ascii="Palatino Linotype" w:hAnsi="Palatino Linotype"/>
          <w:sz w:val="18"/>
        </w:rPr>
        <w:tab/>
        <w:t xml:space="preserve">Sladek, R. M.; Bond, M. J.; Phillips, P. A. Age and gender differences in preferences for rational and experiential thinking. </w:t>
      </w:r>
      <w:r w:rsidRPr="00631347">
        <w:rPr>
          <w:rFonts w:ascii="Palatino Linotype" w:hAnsi="Palatino Linotype"/>
          <w:i/>
          <w:iCs/>
          <w:sz w:val="18"/>
        </w:rPr>
        <w:t>Personal. Individ. Differ.</w:t>
      </w:r>
      <w:r w:rsidRPr="00631347">
        <w:rPr>
          <w:rFonts w:ascii="Palatino Linotype" w:hAnsi="Palatino Linotype"/>
          <w:sz w:val="18"/>
        </w:rPr>
        <w:t xml:space="preserve"> </w:t>
      </w:r>
      <w:r w:rsidRPr="00631347">
        <w:rPr>
          <w:rFonts w:ascii="Palatino Linotype" w:hAnsi="Palatino Linotype"/>
          <w:b/>
          <w:bCs/>
          <w:sz w:val="18"/>
        </w:rPr>
        <w:t>2010</w:t>
      </w:r>
      <w:r w:rsidRPr="00631347">
        <w:rPr>
          <w:rFonts w:ascii="Palatino Linotype" w:hAnsi="Palatino Linotype"/>
          <w:sz w:val="18"/>
        </w:rPr>
        <w:t xml:space="preserve">, </w:t>
      </w:r>
      <w:r w:rsidRPr="00631347">
        <w:rPr>
          <w:rFonts w:ascii="Palatino Linotype" w:hAnsi="Palatino Linotype"/>
          <w:i/>
          <w:iCs/>
          <w:sz w:val="18"/>
        </w:rPr>
        <w:t>49</w:t>
      </w:r>
      <w:r w:rsidRPr="00631347">
        <w:rPr>
          <w:rFonts w:ascii="Palatino Linotype" w:hAnsi="Palatino Linotype"/>
          <w:sz w:val="18"/>
        </w:rPr>
        <w:t>, 907–911, doi:https://doi.org/10.1016/j.paid.2010.07.028.</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27. </w:t>
      </w:r>
      <w:r w:rsidRPr="00631347">
        <w:rPr>
          <w:rFonts w:ascii="Palatino Linotype" w:hAnsi="Palatino Linotype"/>
          <w:sz w:val="18"/>
        </w:rPr>
        <w:tab/>
        <w:t xml:space="preserve">Calder, L. A.; Forster, A. J.; Stiell, I. G.; Carr, L. K.; Brehaut, J. C.; Perry, J. J.; Vaillancourt, C.; Croskerry, P. Experiential and rational decision making: a survey to determine how emergency physicians make clinical decisions. </w:t>
      </w:r>
      <w:r w:rsidRPr="00631347">
        <w:rPr>
          <w:rFonts w:ascii="Palatino Linotype" w:hAnsi="Palatino Linotype"/>
          <w:i/>
          <w:iCs/>
          <w:sz w:val="18"/>
        </w:rPr>
        <w:t>Emerg Med J</w:t>
      </w:r>
      <w:r w:rsidRPr="00631347">
        <w:rPr>
          <w:rFonts w:ascii="Palatino Linotype" w:hAnsi="Palatino Linotype"/>
          <w:sz w:val="18"/>
        </w:rPr>
        <w:t xml:space="preserve"> </w:t>
      </w:r>
      <w:r w:rsidRPr="00631347">
        <w:rPr>
          <w:rFonts w:ascii="Palatino Linotype" w:hAnsi="Palatino Linotype"/>
          <w:b/>
          <w:bCs/>
          <w:sz w:val="18"/>
        </w:rPr>
        <w:t>2011</w:t>
      </w:r>
      <w:r w:rsidRPr="00631347">
        <w:rPr>
          <w:rFonts w:ascii="Palatino Linotype" w:hAnsi="Palatino Linotype"/>
          <w:sz w:val="18"/>
        </w:rPr>
        <w:t>, emermed–2011.</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28. </w:t>
      </w:r>
      <w:r w:rsidRPr="00631347">
        <w:rPr>
          <w:rFonts w:ascii="Palatino Linotype" w:hAnsi="Palatino Linotype"/>
          <w:sz w:val="18"/>
        </w:rPr>
        <w:tab/>
        <w:t xml:space="preserve">Fujimoto, H.; Park, E.-S. Framing effects and gender differences in voluntary public goods provision experiments. </w:t>
      </w:r>
      <w:r w:rsidRPr="00631347">
        <w:rPr>
          <w:rFonts w:ascii="Palatino Linotype" w:hAnsi="Palatino Linotype"/>
          <w:i/>
          <w:iCs/>
          <w:sz w:val="18"/>
        </w:rPr>
        <w:t>J. Socio-Econ.</w:t>
      </w:r>
      <w:r w:rsidRPr="00631347">
        <w:rPr>
          <w:rFonts w:ascii="Palatino Linotype" w:hAnsi="Palatino Linotype"/>
          <w:sz w:val="18"/>
        </w:rPr>
        <w:t xml:space="preserve"> </w:t>
      </w:r>
      <w:r w:rsidRPr="00631347">
        <w:rPr>
          <w:rFonts w:ascii="Palatino Linotype" w:hAnsi="Palatino Linotype"/>
          <w:b/>
          <w:bCs/>
          <w:sz w:val="18"/>
        </w:rPr>
        <w:t>2010</w:t>
      </w:r>
      <w:r w:rsidRPr="00631347">
        <w:rPr>
          <w:rFonts w:ascii="Palatino Linotype" w:hAnsi="Palatino Linotype"/>
          <w:sz w:val="18"/>
        </w:rPr>
        <w:t xml:space="preserve">, </w:t>
      </w:r>
      <w:r w:rsidRPr="00631347">
        <w:rPr>
          <w:rFonts w:ascii="Palatino Linotype" w:hAnsi="Palatino Linotype"/>
          <w:i/>
          <w:iCs/>
          <w:sz w:val="18"/>
        </w:rPr>
        <w:t>39</w:t>
      </w:r>
      <w:r w:rsidRPr="00631347">
        <w:rPr>
          <w:rFonts w:ascii="Palatino Linotype" w:hAnsi="Palatino Linotype"/>
          <w:sz w:val="18"/>
        </w:rPr>
        <w:t>, 455–457, doi:10.1016/j.socec.2010.03.002.</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29. </w:t>
      </w:r>
      <w:r w:rsidRPr="00631347">
        <w:rPr>
          <w:rFonts w:ascii="Palatino Linotype" w:hAnsi="Palatino Linotype"/>
          <w:sz w:val="18"/>
        </w:rPr>
        <w:tab/>
        <w:t xml:space="preserve">Park, E.-S. Warm-glow versus cold-prickle: a further experimental study of framing effects on free-riding. </w:t>
      </w:r>
      <w:r w:rsidRPr="00631347">
        <w:rPr>
          <w:rFonts w:ascii="Palatino Linotype" w:hAnsi="Palatino Linotype"/>
          <w:i/>
          <w:iCs/>
          <w:sz w:val="18"/>
        </w:rPr>
        <w:t>J. Econ. Behav. Organ.</w:t>
      </w:r>
      <w:r w:rsidRPr="00631347">
        <w:rPr>
          <w:rFonts w:ascii="Palatino Linotype" w:hAnsi="Palatino Linotype"/>
          <w:sz w:val="18"/>
        </w:rPr>
        <w:t xml:space="preserve"> </w:t>
      </w:r>
      <w:r w:rsidRPr="00631347">
        <w:rPr>
          <w:rFonts w:ascii="Palatino Linotype" w:hAnsi="Palatino Linotype"/>
          <w:b/>
          <w:bCs/>
          <w:sz w:val="18"/>
        </w:rPr>
        <w:t>2000</w:t>
      </w:r>
      <w:r w:rsidRPr="00631347">
        <w:rPr>
          <w:rFonts w:ascii="Palatino Linotype" w:hAnsi="Palatino Linotype"/>
          <w:sz w:val="18"/>
        </w:rPr>
        <w:t xml:space="preserve">, </w:t>
      </w:r>
      <w:r w:rsidRPr="00631347">
        <w:rPr>
          <w:rFonts w:ascii="Palatino Linotype" w:hAnsi="Palatino Linotype"/>
          <w:i/>
          <w:iCs/>
          <w:sz w:val="18"/>
        </w:rPr>
        <w:t>43</w:t>
      </w:r>
      <w:r w:rsidRPr="00631347">
        <w:rPr>
          <w:rFonts w:ascii="Palatino Linotype" w:hAnsi="Palatino Linotype"/>
          <w:sz w:val="18"/>
        </w:rPr>
        <w:t>, 405–421, doi:10.1016/S0167-2681(00)00128-1.</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30. </w:t>
      </w:r>
      <w:r w:rsidRPr="00631347">
        <w:rPr>
          <w:rFonts w:ascii="Palatino Linotype" w:hAnsi="Palatino Linotype"/>
          <w:sz w:val="18"/>
        </w:rPr>
        <w:tab/>
        <w:t xml:space="preserve">Cadsby, C. B.; Maynes, E. Gender and free riding in a threshold public goods game: experimental evidence. </w:t>
      </w:r>
      <w:r w:rsidRPr="00631347">
        <w:rPr>
          <w:rFonts w:ascii="Palatino Linotype" w:hAnsi="Palatino Linotype"/>
          <w:i/>
          <w:iCs/>
          <w:sz w:val="18"/>
        </w:rPr>
        <w:t>J. Econ. Behav. Organ.</w:t>
      </w:r>
      <w:r w:rsidRPr="00631347">
        <w:rPr>
          <w:rFonts w:ascii="Palatino Linotype" w:hAnsi="Palatino Linotype"/>
          <w:sz w:val="18"/>
        </w:rPr>
        <w:t xml:space="preserve"> </w:t>
      </w:r>
      <w:r w:rsidRPr="00631347">
        <w:rPr>
          <w:rFonts w:ascii="Palatino Linotype" w:hAnsi="Palatino Linotype"/>
          <w:b/>
          <w:bCs/>
          <w:sz w:val="18"/>
        </w:rPr>
        <w:t>1998</w:t>
      </w:r>
      <w:r w:rsidRPr="00631347">
        <w:rPr>
          <w:rFonts w:ascii="Palatino Linotype" w:hAnsi="Palatino Linotype"/>
          <w:sz w:val="18"/>
        </w:rPr>
        <w:t xml:space="preserve">, </w:t>
      </w:r>
      <w:r w:rsidRPr="00631347">
        <w:rPr>
          <w:rFonts w:ascii="Palatino Linotype" w:hAnsi="Palatino Linotype"/>
          <w:i/>
          <w:iCs/>
          <w:sz w:val="18"/>
        </w:rPr>
        <w:t>34</w:t>
      </w:r>
      <w:r w:rsidRPr="00631347">
        <w:rPr>
          <w:rFonts w:ascii="Palatino Linotype" w:hAnsi="Palatino Linotype"/>
          <w:sz w:val="18"/>
        </w:rPr>
        <w:t>, 603–620, doi:10.1016/S0167-2681(97)00010-3.</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31. </w:t>
      </w:r>
      <w:r w:rsidRPr="00631347">
        <w:rPr>
          <w:rFonts w:ascii="Palatino Linotype" w:hAnsi="Palatino Linotype"/>
          <w:sz w:val="18"/>
        </w:rPr>
        <w:tab/>
        <w:t xml:space="preserve">Charness, G.; Gneezy, U. Strong evidence for gender differences in risk taking. </w:t>
      </w:r>
      <w:r w:rsidRPr="00631347">
        <w:rPr>
          <w:rFonts w:ascii="Palatino Linotype" w:hAnsi="Palatino Linotype"/>
          <w:i/>
          <w:iCs/>
          <w:sz w:val="18"/>
        </w:rPr>
        <w:t>J. Econ. Behav. Organ.</w:t>
      </w:r>
      <w:r w:rsidRPr="00631347">
        <w:rPr>
          <w:rFonts w:ascii="Palatino Linotype" w:hAnsi="Palatino Linotype"/>
          <w:sz w:val="18"/>
        </w:rPr>
        <w:t xml:space="preserve"> </w:t>
      </w:r>
      <w:r w:rsidRPr="00631347">
        <w:rPr>
          <w:rFonts w:ascii="Palatino Linotype" w:hAnsi="Palatino Linotype"/>
          <w:b/>
          <w:bCs/>
          <w:sz w:val="18"/>
        </w:rPr>
        <w:t>2012</w:t>
      </w:r>
      <w:r w:rsidRPr="00631347">
        <w:rPr>
          <w:rFonts w:ascii="Palatino Linotype" w:hAnsi="Palatino Linotype"/>
          <w:sz w:val="18"/>
        </w:rPr>
        <w:t xml:space="preserve">, </w:t>
      </w:r>
      <w:r w:rsidRPr="00631347">
        <w:rPr>
          <w:rFonts w:ascii="Palatino Linotype" w:hAnsi="Palatino Linotype"/>
          <w:i/>
          <w:iCs/>
          <w:sz w:val="18"/>
        </w:rPr>
        <w:t>83</w:t>
      </w:r>
      <w:r w:rsidRPr="00631347">
        <w:rPr>
          <w:rFonts w:ascii="Palatino Linotype" w:hAnsi="Palatino Linotype"/>
          <w:sz w:val="18"/>
        </w:rPr>
        <w:t>, 50–58, doi:10.1016/j.jebo.2011.06.007.</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32. </w:t>
      </w:r>
      <w:r w:rsidRPr="00631347">
        <w:rPr>
          <w:rFonts w:ascii="Palatino Linotype" w:hAnsi="Palatino Linotype"/>
          <w:sz w:val="18"/>
        </w:rPr>
        <w:tab/>
        <w:t xml:space="preserve">Andreoni, J.; Vesterlund, L. Which is the fair sex? Gender differences in altruism. </w:t>
      </w:r>
      <w:r w:rsidRPr="00631347">
        <w:rPr>
          <w:rFonts w:ascii="Palatino Linotype" w:hAnsi="Palatino Linotype"/>
          <w:i/>
          <w:iCs/>
          <w:sz w:val="18"/>
        </w:rPr>
        <w:t>Q. J. Econ.</w:t>
      </w:r>
      <w:r w:rsidRPr="00631347">
        <w:rPr>
          <w:rFonts w:ascii="Palatino Linotype" w:hAnsi="Palatino Linotype"/>
          <w:sz w:val="18"/>
        </w:rPr>
        <w:t xml:space="preserve"> </w:t>
      </w:r>
      <w:r w:rsidRPr="00631347">
        <w:rPr>
          <w:rFonts w:ascii="Palatino Linotype" w:hAnsi="Palatino Linotype"/>
          <w:b/>
          <w:bCs/>
          <w:sz w:val="18"/>
        </w:rPr>
        <w:t>2001</w:t>
      </w:r>
      <w:r w:rsidRPr="00631347">
        <w:rPr>
          <w:rFonts w:ascii="Palatino Linotype" w:hAnsi="Palatino Linotype"/>
          <w:sz w:val="18"/>
        </w:rPr>
        <w:t xml:space="preserve">, </w:t>
      </w:r>
      <w:r w:rsidRPr="00631347">
        <w:rPr>
          <w:rFonts w:ascii="Palatino Linotype" w:hAnsi="Palatino Linotype"/>
          <w:i/>
          <w:iCs/>
          <w:sz w:val="18"/>
        </w:rPr>
        <w:t>116</w:t>
      </w:r>
      <w:r w:rsidRPr="00631347">
        <w:rPr>
          <w:rFonts w:ascii="Palatino Linotype" w:hAnsi="Palatino Linotype"/>
          <w:sz w:val="18"/>
        </w:rPr>
        <w:t>, 293–312, doi:10.1162/003355301556419.</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33. </w:t>
      </w:r>
      <w:r w:rsidRPr="00631347">
        <w:rPr>
          <w:rFonts w:ascii="Palatino Linotype" w:hAnsi="Palatino Linotype"/>
          <w:sz w:val="18"/>
        </w:rPr>
        <w:tab/>
        <w:t xml:space="preserve">Hauge, K. E.; Rogeberg, O. Representing Others in a Public Good Game. </w:t>
      </w:r>
      <w:r w:rsidRPr="00631347">
        <w:rPr>
          <w:rFonts w:ascii="Palatino Linotype" w:hAnsi="Palatino Linotype"/>
          <w:i/>
          <w:iCs/>
          <w:sz w:val="18"/>
        </w:rPr>
        <w:t>Games</w:t>
      </w:r>
      <w:r w:rsidRPr="00631347">
        <w:rPr>
          <w:rFonts w:ascii="Palatino Linotype" w:hAnsi="Palatino Linotype"/>
          <w:sz w:val="18"/>
        </w:rPr>
        <w:t xml:space="preserve"> </w:t>
      </w:r>
      <w:r w:rsidRPr="00631347">
        <w:rPr>
          <w:rFonts w:ascii="Palatino Linotype" w:hAnsi="Palatino Linotype"/>
          <w:b/>
          <w:bCs/>
          <w:sz w:val="18"/>
        </w:rPr>
        <w:t>2015</w:t>
      </w:r>
      <w:r w:rsidRPr="00631347">
        <w:rPr>
          <w:rFonts w:ascii="Palatino Linotype" w:hAnsi="Palatino Linotype"/>
          <w:sz w:val="18"/>
        </w:rPr>
        <w:t xml:space="preserve">, </w:t>
      </w:r>
      <w:r w:rsidRPr="00631347">
        <w:rPr>
          <w:rFonts w:ascii="Palatino Linotype" w:hAnsi="Palatino Linotype"/>
          <w:i/>
          <w:iCs/>
          <w:sz w:val="18"/>
        </w:rPr>
        <w:t>6</w:t>
      </w:r>
      <w:r w:rsidRPr="00631347">
        <w:rPr>
          <w:rFonts w:ascii="Palatino Linotype" w:hAnsi="Palatino Linotype"/>
          <w:sz w:val="18"/>
        </w:rPr>
        <w:t>, 381–393, doi:10.3390/g6030381.</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34. </w:t>
      </w:r>
      <w:r w:rsidRPr="00631347">
        <w:rPr>
          <w:rFonts w:ascii="Palatino Linotype" w:hAnsi="Palatino Linotype"/>
          <w:sz w:val="18"/>
        </w:rPr>
        <w:tab/>
        <w:t xml:space="preserve">Atkeson, L. R.; Rapoport, R. B. The more things change the more they stay the same: Examining gender differences in political attitude expression, 1952–2000. </w:t>
      </w:r>
      <w:r w:rsidRPr="00631347">
        <w:rPr>
          <w:rFonts w:ascii="Palatino Linotype" w:hAnsi="Palatino Linotype"/>
          <w:i/>
          <w:iCs/>
          <w:sz w:val="18"/>
        </w:rPr>
        <w:t>Public Opin. Q.</w:t>
      </w:r>
      <w:r w:rsidRPr="00631347">
        <w:rPr>
          <w:rFonts w:ascii="Palatino Linotype" w:hAnsi="Palatino Linotype"/>
          <w:sz w:val="18"/>
        </w:rPr>
        <w:t xml:space="preserve"> </w:t>
      </w:r>
      <w:r w:rsidRPr="00631347">
        <w:rPr>
          <w:rFonts w:ascii="Palatino Linotype" w:hAnsi="Palatino Linotype"/>
          <w:b/>
          <w:bCs/>
          <w:sz w:val="18"/>
        </w:rPr>
        <w:t>2003</w:t>
      </w:r>
      <w:r w:rsidRPr="00631347">
        <w:rPr>
          <w:rFonts w:ascii="Palatino Linotype" w:hAnsi="Palatino Linotype"/>
          <w:sz w:val="18"/>
        </w:rPr>
        <w:t xml:space="preserve">, </w:t>
      </w:r>
      <w:r w:rsidRPr="00631347">
        <w:rPr>
          <w:rFonts w:ascii="Palatino Linotype" w:hAnsi="Palatino Linotype"/>
          <w:i/>
          <w:iCs/>
          <w:sz w:val="18"/>
        </w:rPr>
        <w:t>67</w:t>
      </w:r>
      <w:r w:rsidRPr="00631347">
        <w:rPr>
          <w:rFonts w:ascii="Palatino Linotype" w:hAnsi="Palatino Linotype"/>
          <w:sz w:val="18"/>
        </w:rPr>
        <w:t>, 495–521, doi:10.1086/378961.</w:t>
      </w:r>
    </w:p>
    <w:p w:rsidR="00631347" w:rsidRPr="00631347" w:rsidRDefault="00631347" w:rsidP="00631347">
      <w:pPr>
        <w:pStyle w:val="Bibliography"/>
        <w:rPr>
          <w:rFonts w:ascii="Palatino Linotype" w:hAnsi="Palatino Linotype"/>
          <w:sz w:val="18"/>
        </w:rPr>
      </w:pPr>
      <w:r w:rsidRPr="00631347">
        <w:rPr>
          <w:rFonts w:ascii="Palatino Linotype" w:hAnsi="Palatino Linotype"/>
          <w:sz w:val="18"/>
        </w:rPr>
        <w:t xml:space="preserve">35. </w:t>
      </w:r>
      <w:r w:rsidRPr="00631347">
        <w:rPr>
          <w:rFonts w:ascii="Palatino Linotype" w:hAnsi="Palatino Linotype"/>
          <w:sz w:val="18"/>
        </w:rPr>
        <w:tab/>
        <w:t xml:space="preserve">Epstein, S.; Pacini, R.; Denes-Raj, V.; Heier, H. Individual differences in intuitive-experiential and analytical-rational thinking styles. </w:t>
      </w:r>
      <w:r w:rsidRPr="00631347">
        <w:rPr>
          <w:rFonts w:ascii="Palatino Linotype" w:hAnsi="Palatino Linotype"/>
          <w:i/>
          <w:iCs/>
          <w:sz w:val="18"/>
        </w:rPr>
        <w:t>J. Pers. Soc. Psychol.</w:t>
      </w:r>
      <w:r w:rsidRPr="00631347">
        <w:rPr>
          <w:rFonts w:ascii="Palatino Linotype" w:hAnsi="Palatino Linotype"/>
          <w:sz w:val="18"/>
        </w:rPr>
        <w:t xml:space="preserve"> </w:t>
      </w:r>
      <w:r w:rsidRPr="00631347">
        <w:rPr>
          <w:rFonts w:ascii="Palatino Linotype" w:hAnsi="Palatino Linotype"/>
          <w:b/>
          <w:bCs/>
          <w:sz w:val="18"/>
        </w:rPr>
        <w:t>1996</w:t>
      </w:r>
      <w:r w:rsidRPr="00631347">
        <w:rPr>
          <w:rFonts w:ascii="Palatino Linotype" w:hAnsi="Palatino Linotype"/>
          <w:sz w:val="18"/>
        </w:rPr>
        <w:t xml:space="preserve">, </w:t>
      </w:r>
      <w:r w:rsidRPr="00631347">
        <w:rPr>
          <w:rFonts w:ascii="Palatino Linotype" w:hAnsi="Palatino Linotype"/>
          <w:i/>
          <w:iCs/>
          <w:sz w:val="18"/>
        </w:rPr>
        <w:t>71</w:t>
      </w:r>
      <w:r w:rsidRPr="00631347">
        <w:rPr>
          <w:rFonts w:ascii="Palatino Linotype" w:hAnsi="Palatino Linotype"/>
          <w:sz w:val="18"/>
        </w:rPr>
        <w:t>, 390–405, doi:http://dx.doi.org/10.1037/0022-3514.71.2.390.</w:t>
      </w:r>
    </w:p>
    <w:p w:rsidR="007B78A4" w:rsidRDefault="007B78A4" w:rsidP="00CB4B65">
      <w:pPr>
        <w:pStyle w:val="MDPI71References"/>
        <w:numPr>
          <w:ilvl w:val="0"/>
          <w:numId w:val="0"/>
        </w:numPr>
        <w:ind w:left="425"/>
      </w:pPr>
      <w:r>
        <w:fldChar w:fldCharType="end"/>
      </w:r>
    </w:p>
    <w:p w:rsidR="007B78A4" w:rsidRDefault="007B78A4" w:rsidP="00CB4B65">
      <w:pPr>
        <w:pStyle w:val="MDPI71References"/>
        <w:numPr>
          <w:ilvl w:val="0"/>
          <w:numId w:val="0"/>
        </w:numPr>
        <w:ind w:left="425"/>
      </w:pPr>
    </w:p>
    <w:p w:rsidR="00A01504" w:rsidRPr="00DC74E9" w:rsidRDefault="000355B5" w:rsidP="00CB4B65">
      <w:pPr>
        <w:adjustRightInd w:val="0"/>
        <w:snapToGrid w:val="0"/>
        <w:spacing w:before="240" w:line="260" w:lineRule="atLeast"/>
        <w:rPr>
          <w:rFonts w:ascii="Palatino Linotype" w:hAnsi="Palatino Linotype"/>
          <w:sz w:val="18"/>
        </w:rPr>
      </w:pPr>
      <w:bookmarkStart w:id="3" w:name="OLE_LINK3"/>
      <w:r w:rsidRPr="002443B3">
        <w:rPr>
          <w:rFonts w:ascii="Palatino Linotype" w:hAnsi="Palatino Linotype"/>
          <w:noProof/>
          <w:snapToGrid w:val="0"/>
          <w:sz w:val="18"/>
          <w:szCs w:val="18"/>
        </w:rPr>
        <w:drawing>
          <wp:anchor distT="0" distB="0" distL="114300" distR="114300" simplePos="0" relativeHeight="251659264" behindDoc="1" locked="0" layoutInCell="1" allowOverlap="1" wp14:anchorId="068E9F97" wp14:editId="288D1FE0">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Pr="002443B3">
        <w:rPr>
          <w:rFonts w:ascii="Palatino Linotype" w:hAnsi="Palatino Linotype"/>
          <w:snapToGrid w:val="0"/>
          <w:sz w:val="18"/>
          <w:szCs w:val="18"/>
          <w:lang w:bidi="en-US"/>
        </w:rPr>
        <w:t xml:space="preserve">© </w:t>
      </w:r>
      <w:r w:rsidR="009A4EE0">
        <w:rPr>
          <w:rFonts w:ascii="Palatino Linotype" w:hAnsi="Palatino Linotype"/>
          <w:snapToGrid w:val="0"/>
          <w:sz w:val="18"/>
          <w:szCs w:val="18"/>
          <w:lang w:bidi="en-US"/>
        </w:rPr>
        <w:t>2018 by the authors. Submitted for possible open</w:t>
      </w:r>
      <w:r w:rsidRPr="002443B3">
        <w:rPr>
          <w:rFonts w:ascii="Palatino Linotype" w:hAnsi="Palatino Linotype"/>
          <w:snapToGrid w:val="0"/>
          <w:sz w:val="18"/>
          <w:szCs w:val="18"/>
          <w:lang w:bidi="en-US"/>
        </w:rPr>
        <w:t xml:space="preserve"> access publication under the </w:t>
      </w:r>
      <w:r w:rsidRPr="002443B3">
        <w:rPr>
          <w:rFonts w:ascii="Palatino Linotype" w:hAnsi="Palatino Linotype"/>
          <w:snapToGrid w:val="0"/>
          <w:sz w:val="18"/>
          <w:szCs w:val="18"/>
          <w:lang w:bidi="en-US"/>
        </w:rPr>
        <w:br/>
        <w:t>terms and conditions of the Creative Commons Attribution (</w:t>
      </w:r>
      <w:r w:rsidR="003F17E3">
        <w:rPr>
          <w:rFonts w:ascii="Palatino Linotype" w:hAnsi="Palatino Linotype"/>
          <w:snapToGrid w:val="0"/>
          <w:sz w:val="18"/>
          <w:szCs w:val="18"/>
          <w:lang w:bidi="en-US"/>
        </w:rPr>
        <w:t>CC BY</w:t>
      </w:r>
      <w:r w:rsidRPr="002443B3">
        <w:rPr>
          <w:rFonts w:ascii="Palatino Linotype" w:hAnsi="Palatino Linotype"/>
          <w:snapToGrid w:val="0"/>
          <w:sz w:val="18"/>
          <w:szCs w:val="18"/>
          <w:lang w:bidi="en-US"/>
        </w:rPr>
        <w:t>) license (http://creativecommons.org/licenses/by/4.0/).</w:t>
      </w:r>
      <w:bookmarkEnd w:id="3"/>
    </w:p>
    <w:sectPr w:rsidR="00A01504" w:rsidRPr="00DC74E9" w:rsidSect="009D2AA6">
      <w:headerReference w:type="even" r:id="rId16"/>
      <w:headerReference w:type="default" r:id="rId17"/>
      <w:footerReference w:type="default" r:id="rId18"/>
      <w:headerReference w:type="first" r:id="rId19"/>
      <w:footerReference w:type="first" r:id="rId20"/>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368" w:rsidRDefault="00885368" w:rsidP="00C1340D">
      <w:r>
        <w:separator/>
      </w:r>
    </w:p>
  </w:endnote>
  <w:endnote w:type="continuationSeparator" w:id="0">
    <w:p w:rsidR="00885368" w:rsidRDefault="00885368"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TimesLTStd-Roman">
    <w:altName w:val="Times LT Std"/>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CA" w:rsidRPr="00FB1C61" w:rsidRDefault="00F574CA" w:rsidP="00FB1C61">
    <w:pPr>
      <w:pStyle w:val="Footer"/>
      <w:adjustRightInd w:val="0"/>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i/>
        <w:sz w:val="20"/>
      </w:rPr>
      <w:id w:val="1717389558"/>
      <w:docPartObj>
        <w:docPartGallery w:val="Page Numbers (Top of Page)"/>
        <w:docPartUnique/>
      </w:docPartObj>
    </w:sdtPr>
    <w:sdtEndPr>
      <w:rPr>
        <w:i w:val="0"/>
        <w:sz w:val="16"/>
        <w:szCs w:val="16"/>
      </w:rPr>
    </w:sdtEndPr>
    <w:sdtContent>
      <w:p w:rsidR="00F574CA" w:rsidRPr="00372FCD" w:rsidRDefault="00F574CA" w:rsidP="00B65510">
        <w:pPr>
          <w:adjustRightInd w:val="0"/>
          <w:snapToGrid w:val="0"/>
          <w:spacing w:before="120" w:line="240" w:lineRule="auto"/>
          <w:rPr>
            <w:rFonts w:ascii="Palatino Linotype" w:hAnsi="Palatino Linotype"/>
            <w:sz w:val="16"/>
            <w:szCs w:val="16"/>
            <w:lang w:val="fr-CH"/>
          </w:rPr>
        </w:pPr>
        <w:r w:rsidRPr="00892244">
          <w:rPr>
            <w:rFonts w:ascii="Palatino Linotype" w:hAnsi="Palatino Linotype"/>
            <w:i/>
            <w:sz w:val="16"/>
            <w:szCs w:val="16"/>
          </w:rPr>
          <w:t>Games</w:t>
        </w:r>
        <w:r>
          <w:rPr>
            <w:rFonts w:ascii="Palatino Linotype" w:hAnsi="Palatino Linotype"/>
            <w:i/>
            <w:sz w:val="16"/>
            <w:szCs w:val="16"/>
          </w:rPr>
          <w:t xml:space="preserve"> </w:t>
        </w:r>
        <w:r>
          <w:rPr>
            <w:rFonts w:ascii="Palatino Linotype" w:hAnsi="Palatino Linotype"/>
            <w:b/>
            <w:bCs/>
            <w:iCs/>
            <w:sz w:val="16"/>
            <w:szCs w:val="16"/>
          </w:rPr>
          <w:t>2018</w:t>
        </w:r>
        <w:r w:rsidRPr="00B65510">
          <w:rPr>
            <w:rFonts w:ascii="Palatino Linotype" w:hAnsi="Palatino Linotype"/>
            <w:iCs/>
            <w:sz w:val="16"/>
            <w:szCs w:val="16"/>
          </w:rPr>
          <w:t xml:space="preserve">, </w:t>
        </w:r>
        <w:r>
          <w:rPr>
            <w:rFonts w:ascii="Palatino Linotype" w:eastAsia="SimSun" w:hAnsi="Palatino Linotype"/>
            <w:i/>
            <w:iCs/>
            <w:sz w:val="16"/>
            <w:szCs w:val="16"/>
            <w:lang w:eastAsia="zh-CN"/>
          </w:rPr>
          <w:t>9</w:t>
        </w:r>
        <w:r w:rsidRPr="00B65510">
          <w:rPr>
            <w:rFonts w:ascii="Palatino Linotype" w:hAnsi="Palatino Linotype"/>
            <w:iCs/>
            <w:sz w:val="16"/>
            <w:szCs w:val="16"/>
          </w:rPr>
          <w:t>,</w:t>
        </w:r>
        <w:r w:rsidRPr="00B65510">
          <w:rPr>
            <w:rFonts w:ascii="Palatino Linotype" w:eastAsia="SimSun" w:hAnsi="Palatino Linotype"/>
            <w:sz w:val="16"/>
            <w:szCs w:val="16"/>
            <w:lang w:eastAsia="zh-CN"/>
          </w:rPr>
          <w:t xml:space="preserve"> </w:t>
        </w:r>
        <w:r>
          <w:rPr>
            <w:rFonts w:ascii="Palatino Linotype" w:hAnsi="Palatino Linotype"/>
            <w:sz w:val="16"/>
            <w:szCs w:val="16"/>
          </w:rPr>
          <w:t>x</w:t>
        </w:r>
        <w:r w:rsidRPr="00B65510">
          <w:rPr>
            <w:rFonts w:ascii="Palatino Linotype" w:hAnsi="Palatino Linotype"/>
            <w:sz w:val="16"/>
            <w:szCs w:val="16"/>
            <w:lang w:val="fr-CH"/>
          </w:rPr>
          <w:t>; doi:</w:t>
        </w:r>
        <w:r w:rsidRPr="003A6789">
          <w:rPr>
            <w:rFonts w:ascii="Palatino Linotype" w:hAnsi="Palatino Linotype"/>
            <w:sz w:val="16"/>
            <w:szCs w:val="16"/>
            <w:lang w:eastAsia="zh-CN"/>
          </w:rPr>
          <w:t xml:space="preserve"> </w:t>
        </w:r>
        <w:r w:rsidRPr="00C7178D">
          <w:rPr>
            <w:rFonts w:ascii="Palatino Linotype" w:hAnsi="Palatino Linotype"/>
            <w:sz w:val="16"/>
            <w:szCs w:val="16"/>
            <w:lang w:eastAsia="zh-CN"/>
          </w:rPr>
          <w:t>FOR PEER REVIEW</w:t>
        </w:r>
        <w:r>
          <w:rPr>
            <w:rFonts w:ascii="Palatino Linotype" w:hAnsi="Palatino Linotype"/>
            <w:sz w:val="16"/>
            <w:szCs w:val="16"/>
            <w:lang w:eastAsia="zh-CN"/>
          </w:rPr>
          <w:t xml:space="preserve"> </w:t>
        </w:r>
        <w:r>
          <w:rPr>
            <w:rFonts w:ascii="Palatino Linotype" w:hAnsi="Palatino Linotype"/>
            <w:sz w:val="20"/>
            <w:lang w:val="fr-CH"/>
          </w:rPr>
          <w:ptab w:relativeTo="margin" w:alignment="right" w:leader="none"/>
        </w:r>
        <w:r w:rsidRPr="00372FCD">
          <w:rPr>
            <w:rFonts w:ascii="Palatino Linotype" w:hAnsi="Palatino Linotype"/>
            <w:sz w:val="16"/>
            <w:szCs w:val="16"/>
            <w:lang w:val="fr-CH"/>
          </w:rPr>
          <w:t>www.mdpi.com/journal/</w:t>
        </w:r>
        <w:r w:rsidRPr="00892244">
          <w:rPr>
            <w:rFonts w:ascii="Palatino Linotype" w:hAnsi="Palatino Linotype"/>
            <w:sz w:val="16"/>
            <w:szCs w:val="16"/>
          </w:rPr>
          <w:t>games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368" w:rsidRDefault="00885368" w:rsidP="00C1340D">
      <w:r>
        <w:separator/>
      </w:r>
    </w:p>
  </w:footnote>
  <w:footnote w:type="continuationSeparator" w:id="0">
    <w:p w:rsidR="00885368" w:rsidRDefault="00885368"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CA" w:rsidRDefault="00F574CA"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CA" w:rsidRPr="009D2AA6" w:rsidRDefault="00F574CA" w:rsidP="009D2AA6">
    <w:pPr>
      <w:adjustRightInd w:val="0"/>
      <w:snapToGrid w:val="0"/>
      <w:spacing w:after="240" w:line="240" w:lineRule="auto"/>
      <w:rPr>
        <w:rFonts w:ascii="Palatino Linotype" w:hAnsi="Palatino Linotype"/>
        <w:sz w:val="16"/>
      </w:rPr>
    </w:pPr>
    <w:r>
      <w:rPr>
        <w:rFonts w:ascii="Palatino Linotype" w:hAnsi="Palatino Linotype"/>
        <w:i/>
        <w:sz w:val="16"/>
      </w:rPr>
      <w:t xml:space="preserve">Games </w:t>
    </w:r>
    <w:r>
      <w:rPr>
        <w:rFonts w:ascii="Palatino Linotype" w:hAnsi="Palatino Linotype"/>
        <w:b/>
        <w:sz w:val="16"/>
      </w:rPr>
      <w:t>2018</w:t>
    </w:r>
    <w:r>
      <w:rPr>
        <w:rFonts w:ascii="Palatino Linotype" w:hAnsi="Palatino Linotype"/>
        <w:sz w:val="16"/>
      </w:rPr>
      <w:t xml:space="preserve">, </w:t>
    </w:r>
    <w:r>
      <w:rPr>
        <w:rFonts w:ascii="Palatino Linotype" w:hAnsi="Palatino Linotype"/>
        <w:i/>
        <w:sz w:val="16"/>
      </w:rPr>
      <w:t>9</w:t>
    </w:r>
    <w:r>
      <w:rPr>
        <w:rFonts w:ascii="Palatino Linotype" w:hAnsi="Palatino Linotype"/>
        <w:sz w:val="16"/>
      </w:rPr>
      <w:t xml:space="preserve">, x FOR PEER REVIEW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350B7A">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350B7A">
      <w:rPr>
        <w:rFonts w:ascii="Palatino Linotype" w:hAnsi="Palatino Linotype"/>
        <w:noProof/>
        <w:sz w:val="16"/>
      </w:rPr>
      <w:t>11</w:t>
    </w:r>
    <w:r>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CA" w:rsidRDefault="00F574CA" w:rsidP="008810B3">
    <w:pPr>
      <w:pStyle w:val="MDPIheaderjournallogo"/>
    </w:pPr>
    <w:r>
      <w:rPr>
        <w:i w:val="0"/>
        <w:noProof/>
        <w:szCs w:val="16"/>
        <w:lang w:eastAsia="en-US"/>
      </w:rPr>
      <mc:AlternateContent>
        <mc:Choice Requires="wps">
          <w:drawing>
            <wp:anchor distT="45720" distB="45720" distL="114300" distR="114300" simplePos="0" relativeHeight="251657728" behindDoc="1" locked="0" layoutInCell="1" allowOverlap="1">
              <wp:simplePos x="0" y="0"/>
              <wp:positionH relativeFrom="rightMargin">
                <wp:posOffset>-558165</wp:posOffset>
              </wp:positionH>
              <wp:positionV relativeFrom="paragraph">
                <wp:posOffset>0</wp:posOffset>
              </wp:positionV>
              <wp:extent cx="553085" cy="70929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709295"/>
                      </a:xfrm>
                      <a:prstGeom prst="rect">
                        <a:avLst/>
                      </a:prstGeom>
                      <a:solidFill>
                        <a:srgbClr val="FFFFFF"/>
                      </a:solidFill>
                      <a:ln w="9525">
                        <a:noFill/>
                        <a:miter lim="800000"/>
                        <a:headEnd/>
                        <a:tailEnd/>
                      </a:ln>
                    </wps:spPr>
                    <wps:txbx>
                      <w:txbxContent>
                        <w:p w:rsidR="00F574CA" w:rsidRDefault="00F574CA" w:rsidP="00E65743">
                          <w:pPr>
                            <w:pStyle w:val="MDPIheaderjournallogo"/>
                            <w:jc w:val="center"/>
                            <w:textboxTightWrap w:val="allLines"/>
                            <w:rPr>
                              <w:i w:val="0"/>
                              <w:szCs w:val="16"/>
                            </w:rPr>
                          </w:pPr>
                          <w:r w:rsidRPr="006A30EA">
                            <w:rPr>
                              <w:i w:val="0"/>
                              <w:noProof/>
                              <w:szCs w:val="16"/>
                              <w:lang w:eastAsia="en-US"/>
                            </w:rPr>
                            <w:drawing>
                              <wp:inline distT="0" distB="0" distL="0" distR="0">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3.95pt;margin-top:0;width:43.5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" stroked="f">
              <v:textbox inset="0,0,0,0">
                <w:txbxContent>
                  <w:p w:rsidR="00A71C5A" w:rsidRDefault="00A71C5A" w:rsidP="00E65743">
                    <w:pPr>
                      <w:pStyle w:val="MDPIheaderjournallogo"/>
                      <w:jc w:val="center"/>
                      <w:textboxTightWrap w:val="allLines"/>
                      <w:rPr>
                        <w:i w:val="0"/>
                        <w:szCs w:val="16"/>
                      </w:rPr>
                    </w:pPr>
                    <w:r w:rsidRPr="006A30EA">
                      <w:rPr>
                        <w:i w:val="0"/>
                        <w:noProof/>
                        <w:szCs w:val="16"/>
                        <w:lang w:eastAsia="en-US"/>
                      </w:rPr>
                      <w:drawing>
                        <wp:inline distT="0" distB="0" distL="0" distR="0">
                          <wp:extent cx="546216" cy="360000"/>
                          <wp:effectExtent l="0" t="0" r="6350" b="254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eastAsia="en-US"/>
      </w:rPr>
      <w:drawing>
        <wp:inline distT="0" distB="0" distL="0" distR="0">
          <wp:extent cx="1326515" cy="433705"/>
          <wp:effectExtent l="0" t="0" r="6985" b="4445"/>
          <wp:docPr id="3" name="Picture 3" descr="C:\Users\home\AppData\Local\Temp\HZ$D.082.3312\gam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Temp\HZ$D.082.3312\games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6515" cy="4337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0DAF2A2A"/>
    <w:multiLevelType w:val="hybridMultilevel"/>
    <w:tmpl w:val="9C50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7">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9">
    <w:nsid w:val="430B505B"/>
    <w:multiLevelType w:val="hybridMultilevel"/>
    <w:tmpl w:val="066E1FCC"/>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4E0A0822"/>
    <w:multiLevelType w:val="hybridMultilevel"/>
    <w:tmpl w:val="258EF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73C370A"/>
    <w:multiLevelType w:val="hybridMultilevel"/>
    <w:tmpl w:val="264C8648"/>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4">
    <w:nsid w:val="6DB20A64"/>
    <w:multiLevelType w:val="hybridMultilevel"/>
    <w:tmpl w:val="E0CA2A9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6"/>
  </w:num>
  <w:num w:numId="2">
    <w:abstractNumId w:val="14"/>
  </w:num>
  <w:num w:numId="3">
    <w:abstractNumId w:val="9"/>
  </w:num>
  <w:num w:numId="4">
    <w:abstractNumId w:val="0"/>
  </w:num>
  <w:num w:numId="5">
    <w:abstractNumId w:val="8"/>
  </w:num>
  <w:num w:numId="6">
    <w:abstractNumId w:val="14"/>
  </w:num>
  <w:num w:numId="7">
    <w:abstractNumId w:val="6"/>
  </w:num>
  <w:num w:numId="8">
    <w:abstractNumId w:val="2"/>
  </w:num>
  <w:num w:numId="9">
    <w:abstractNumId w:val="3"/>
  </w:num>
  <w:num w:numId="10">
    <w:abstractNumId w:val="10"/>
  </w:num>
  <w:num w:numId="11">
    <w:abstractNumId w:val="12"/>
  </w:num>
  <w:num w:numId="12">
    <w:abstractNumId w:val="13"/>
  </w:num>
  <w:num w:numId="13">
    <w:abstractNumId w:val="5"/>
  </w:num>
  <w:num w:numId="14">
    <w:abstractNumId w:val="7"/>
  </w:num>
  <w:num w:numId="15">
    <w:abstractNumId w:val="4"/>
  </w:num>
  <w:num w:numId="16">
    <w:abstractNumId w:val="4"/>
  </w:num>
  <w:num w:numId="17">
    <w:abstractNumId w:val="9"/>
  </w:num>
  <w:num w:numId="18">
    <w:abstractNumId w:val="9"/>
  </w:num>
  <w:num w:numId="19">
    <w:abstractNumId w:val="13"/>
  </w:num>
  <w:num w:numId="20">
    <w:abstractNumId w:val="14"/>
  </w:num>
  <w:num w:numId="21">
    <w:abstractNumId w:val="5"/>
  </w:num>
  <w:num w:numId="22">
    <w:abstractNumId w:val="7"/>
  </w:num>
  <w:num w:numId="23">
    <w:abstractNumId w:val="4"/>
  </w:num>
  <w:num w:numId="24">
    <w:abstractNumId w:val="4"/>
  </w:num>
  <w:num w:numId="25">
    <w:abstractNumId w:val="5"/>
  </w:num>
  <w:num w:numId="26">
    <w:abstractNumId w:val="7"/>
  </w:num>
  <w:num w:numId="27">
    <w:abstractNumId w:val="4"/>
  </w:num>
  <w:num w:numId="28">
    <w:abstractNumId w:val="5"/>
  </w:num>
  <w:num w:numId="29">
    <w:abstractNumId w:val="7"/>
  </w:num>
  <w:num w:numId="30">
    <w:abstractNumId w:val="5"/>
  </w:num>
  <w:num w:numId="31">
    <w:abstractNumId w:val="7"/>
  </w:num>
  <w:num w:numId="32">
    <w:abstractNumId w:val="4"/>
  </w:num>
  <w:num w:numId="33">
    <w:abstractNumId w:val="4"/>
  </w:num>
  <w:num w:numId="34">
    <w:abstractNumId w:val="13"/>
  </w:num>
  <w:num w:numId="35">
    <w:abstractNumId w:val="14"/>
  </w:num>
  <w:num w:numId="36">
    <w:abstractNumId w:val="9"/>
  </w:num>
  <w:num w:numId="37">
    <w:abstractNumId w:val="13"/>
  </w:num>
  <w:num w:numId="38">
    <w:abstractNumId w:val="14"/>
  </w:num>
  <w:num w:numId="39">
    <w:abstractNumId w:val="9"/>
  </w:num>
  <w:num w:numId="40">
    <w:abstractNumId w:val="6"/>
  </w:num>
  <w:num w:numId="41">
    <w:abstractNumId w:val="14"/>
  </w:num>
  <w:num w:numId="42">
    <w:abstractNumId w:val="9"/>
  </w:num>
  <w:num w:numId="43">
    <w:abstractNumId w:val="13"/>
  </w:num>
  <w:num w:numId="44">
    <w:abstractNumId w:val="14"/>
  </w:num>
  <w:num w:numId="45">
    <w:abstractNumId w:val="9"/>
  </w:num>
  <w:num w:numId="46">
    <w:abstractNumId w:val="13"/>
  </w:num>
  <w:num w:numId="47">
    <w:abstractNumId w:val="14"/>
  </w:num>
  <w:num w:numId="48">
    <w:abstractNumId w:val="9"/>
  </w:num>
  <w:num w:numId="49">
    <w:abstractNumId w:val="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CB"/>
    <w:rsid w:val="00000637"/>
    <w:rsid w:val="000006F8"/>
    <w:rsid w:val="000046B6"/>
    <w:rsid w:val="00004BA7"/>
    <w:rsid w:val="00005FC2"/>
    <w:rsid w:val="000067CE"/>
    <w:rsid w:val="00011BC3"/>
    <w:rsid w:val="0001283B"/>
    <w:rsid w:val="0002090C"/>
    <w:rsid w:val="00024621"/>
    <w:rsid w:val="0002467B"/>
    <w:rsid w:val="00025A91"/>
    <w:rsid w:val="00025C56"/>
    <w:rsid w:val="000319B8"/>
    <w:rsid w:val="0003351A"/>
    <w:rsid w:val="00034840"/>
    <w:rsid w:val="00034BF8"/>
    <w:rsid w:val="000355B5"/>
    <w:rsid w:val="000361F7"/>
    <w:rsid w:val="00037F00"/>
    <w:rsid w:val="00041A10"/>
    <w:rsid w:val="0004245C"/>
    <w:rsid w:val="00042C12"/>
    <w:rsid w:val="000439F3"/>
    <w:rsid w:val="00043F91"/>
    <w:rsid w:val="00044417"/>
    <w:rsid w:val="0004473F"/>
    <w:rsid w:val="00045565"/>
    <w:rsid w:val="00045898"/>
    <w:rsid w:val="00050716"/>
    <w:rsid w:val="00050C65"/>
    <w:rsid w:val="000520E3"/>
    <w:rsid w:val="000551E0"/>
    <w:rsid w:val="000562B9"/>
    <w:rsid w:val="00056DBB"/>
    <w:rsid w:val="000578BD"/>
    <w:rsid w:val="000602E4"/>
    <w:rsid w:val="000605CD"/>
    <w:rsid w:val="00063A6A"/>
    <w:rsid w:val="0006467F"/>
    <w:rsid w:val="00071D03"/>
    <w:rsid w:val="00073BD9"/>
    <w:rsid w:val="00075573"/>
    <w:rsid w:val="00077826"/>
    <w:rsid w:val="00077A9D"/>
    <w:rsid w:val="00082D78"/>
    <w:rsid w:val="000833FA"/>
    <w:rsid w:val="00083647"/>
    <w:rsid w:val="000848F9"/>
    <w:rsid w:val="00094176"/>
    <w:rsid w:val="000A0E49"/>
    <w:rsid w:val="000A0F29"/>
    <w:rsid w:val="000A255A"/>
    <w:rsid w:val="000A3155"/>
    <w:rsid w:val="000A411D"/>
    <w:rsid w:val="000A45A9"/>
    <w:rsid w:val="000A4C61"/>
    <w:rsid w:val="000A5FAE"/>
    <w:rsid w:val="000B05D0"/>
    <w:rsid w:val="000B38AC"/>
    <w:rsid w:val="000B529D"/>
    <w:rsid w:val="000B5482"/>
    <w:rsid w:val="000B7EF6"/>
    <w:rsid w:val="000C299D"/>
    <w:rsid w:val="000C4A82"/>
    <w:rsid w:val="000C4B5D"/>
    <w:rsid w:val="000C4FB6"/>
    <w:rsid w:val="000D0305"/>
    <w:rsid w:val="000D0745"/>
    <w:rsid w:val="000D0874"/>
    <w:rsid w:val="000D093A"/>
    <w:rsid w:val="000D166F"/>
    <w:rsid w:val="000D2842"/>
    <w:rsid w:val="000D2F06"/>
    <w:rsid w:val="000D5554"/>
    <w:rsid w:val="000E08FD"/>
    <w:rsid w:val="000E35FE"/>
    <w:rsid w:val="000E37D1"/>
    <w:rsid w:val="000E7A5D"/>
    <w:rsid w:val="000F0E85"/>
    <w:rsid w:val="000F0F9F"/>
    <w:rsid w:val="000F4E0E"/>
    <w:rsid w:val="00100B2F"/>
    <w:rsid w:val="00100FE2"/>
    <w:rsid w:val="00103634"/>
    <w:rsid w:val="00104294"/>
    <w:rsid w:val="001170CF"/>
    <w:rsid w:val="0011779E"/>
    <w:rsid w:val="0012125D"/>
    <w:rsid w:val="00124285"/>
    <w:rsid w:val="0012462F"/>
    <w:rsid w:val="001268A0"/>
    <w:rsid w:val="001269DD"/>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3B81"/>
    <w:rsid w:val="00155401"/>
    <w:rsid w:val="00156006"/>
    <w:rsid w:val="00160C50"/>
    <w:rsid w:val="0016263E"/>
    <w:rsid w:val="001632F9"/>
    <w:rsid w:val="00163372"/>
    <w:rsid w:val="00165A01"/>
    <w:rsid w:val="001665A2"/>
    <w:rsid w:val="0016702F"/>
    <w:rsid w:val="00171371"/>
    <w:rsid w:val="001732EE"/>
    <w:rsid w:val="001739FB"/>
    <w:rsid w:val="00173FC0"/>
    <w:rsid w:val="001763AE"/>
    <w:rsid w:val="00176BBA"/>
    <w:rsid w:val="00176DC5"/>
    <w:rsid w:val="00176E73"/>
    <w:rsid w:val="0017709E"/>
    <w:rsid w:val="001812DE"/>
    <w:rsid w:val="00184A30"/>
    <w:rsid w:val="00184B65"/>
    <w:rsid w:val="00184ECF"/>
    <w:rsid w:val="001854A7"/>
    <w:rsid w:val="001860DD"/>
    <w:rsid w:val="00192141"/>
    <w:rsid w:val="001929BE"/>
    <w:rsid w:val="00193EBD"/>
    <w:rsid w:val="00194DCB"/>
    <w:rsid w:val="001A00CD"/>
    <w:rsid w:val="001A0D5B"/>
    <w:rsid w:val="001A103B"/>
    <w:rsid w:val="001A2D5C"/>
    <w:rsid w:val="001A3926"/>
    <w:rsid w:val="001A4A0E"/>
    <w:rsid w:val="001A7D08"/>
    <w:rsid w:val="001B09F9"/>
    <w:rsid w:val="001B22D3"/>
    <w:rsid w:val="001B2E32"/>
    <w:rsid w:val="001B396D"/>
    <w:rsid w:val="001B3A0F"/>
    <w:rsid w:val="001B446E"/>
    <w:rsid w:val="001C0136"/>
    <w:rsid w:val="001C0A1F"/>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135"/>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43B3"/>
    <w:rsid w:val="0024473E"/>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69"/>
    <w:rsid w:val="002813F6"/>
    <w:rsid w:val="0028335A"/>
    <w:rsid w:val="00285954"/>
    <w:rsid w:val="00285A67"/>
    <w:rsid w:val="0028727D"/>
    <w:rsid w:val="002915B6"/>
    <w:rsid w:val="0029287A"/>
    <w:rsid w:val="00294C2F"/>
    <w:rsid w:val="0029628E"/>
    <w:rsid w:val="00296EB7"/>
    <w:rsid w:val="002A31E4"/>
    <w:rsid w:val="002A66E9"/>
    <w:rsid w:val="002B0BCA"/>
    <w:rsid w:val="002B37F5"/>
    <w:rsid w:val="002B4981"/>
    <w:rsid w:val="002B54B9"/>
    <w:rsid w:val="002B75A2"/>
    <w:rsid w:val="002B7893"/>
    <w:rsid w:val="002C0E6A"/>
    <w:rsid w:val="002C28DD"/>
    <w:rsid w:val="002C300A"/>
    <w:rsid w:val="002C5045"/>
    <w:rsid w:val="002C5CD6"/>
    <w:rsid w:val="002C6C5F"/>
    <w:rsid w:val="002C7423"/>
    <w:rsid w:val="002C7CEB"/>
    <w:rsid w:val="002D0834"/>
    <w:rsid w:val="002D2055"/>
    <w:rsid w:val="002D476D"/>
    <w:rsid w:val="002D4F9D"/>
    <w:rsid w:val="002D7C6E"/>
    <w:rsid w:val="002D7EB2"/>
    <w:rsid w:val="002E0B8D"/>
    <w:rsid w:val="002E11AF"/>
    <w:rsid w:val="002E1F9C"/>
    <w:rsid w:val="002E2696"/>
    <w:rsid w:val="002E45FF"/>
    <w:rsid w:val="002E4AE9"/>
    <w:rsid w:val="002E59FA"/>
    <w:rsid w:val="002E699F"/>
    <w:rsid w:val="002F0022"/>
    <w:rsid w:val="002F1F90"/>
    <w:rsid w:val="002F30E0"/>
    <w:rsid w:val="002F3A40"/>
    <w:rsid w:val="002F4B55"/>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396"/>
    <w:rsid w:val="00347596"/>
    <w:rsid w:val="00350B7A"/>
    <w:rsid w:val="00352D55"/>
    <w:rsid w:val="0035313A"/>
    <w:rsid w:val="0035340A"/>
    <w:rsid w:val="00353B41"/>
    <w:rsid w:val="0035469E"/>
    <w:rsid w:val="0035521D"/>
    <w:rsid w:val="00357207"/>
    <w:rsid w:val="00357A78"/>
    <w:rsid w:val="00363D81"/>
    <w:rsid w:val="00364C55"/>
    <w:rsid w:val="00367166"/>
    <w:rsid w:val="00367343"/>
    <w:rsid w:val="003675B2"/>
    <w:rsid w:val="0036786B"/>
    <w:rsid w:val="00367C05"/>
    <w:rsid w:val="00370569"/>
    <w:rsid w:val="003709EC"/>
    <w:rsid w:val="00372FCD"/>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96DD6"/>
    <w:rsid w:val="003A0FDD"/>
    <w:rsid w:val="003A116E"/>
    <w:rsid w:val="003A1FCC"/>
    <w:rsid w:val="003A2168"/>
    <w:rsid w:val="003A3F7E"/>
    <w:rsid w:val="003A445F"/>
    <w:rsid w:val="003A4FD3"/>
    <w:rsid w:val="003A5E59"/>
    <w:rsid w:val="003A6789"/>
    <w:rsid w:val="003B2324"/>
    <w:rsid w:val="003B2A22"/>
    <w:rsid w:val="003B3A7C"/>
    <w:rsid w:val="003B3F4B"/>
    <w:rsid w:val="003B4E63"/>
    <w:rsid w:val="003B559A"/>
    <w:rsid w:val="003B65E3"/>
    <w:rsid w:val="003C014C"/>
    <w:rsid w:val="003C245C"/>
    <w:rsid w:val="003C2C26"/>
    <w:rsid w:val="003C4A20"/>
    <w:rsid w:val="003C4AAF"/>
    <w:rsid w:val="003C7C01"/>
    <w:rsid w:val="003D1BCF"/>
    <w:rsid w:val="003D2888"/>
    <w:rsid w:val="003D2BC8"/>
    <w:rsid w:val="003D3963"/>
    <w:rsid w:val="003D6836"/>
    <w:rsid w:val="003D6DF8"/>
    <w:rsid w:val="003D740F"/>
    <w:rsid w:val="003E0783"/>
    <w:rsid w:val="003E08EB"/>
    <w:rsid w:val="003E0C56"/>
    <w:rsid w:val="003E14E1"/>
    <w:rsid w:val="003E2B81"/>
    <w:rsid w:val="003E5F91"/>
    <w:rsid w:val="003E6536"/>
    <w:rsid w:val="003E68A1"/>
    <w:rsid w:val="003E7742"/>
    <w:rsid w:val="003F0471"/>
    <w:rsid w:val="003F17E3"/>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3DB0"/>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2266"/>
    <w:rsid w:val="0048234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6E3D"/>
    <w:rsid w:val="004A7C02"/>
    <w:rsid w:val="004B1516"/>
    <w:rsid w:val="004B401D"/>
    <w:rsid w:val="004B637A"/>
    <w:rsid w:val="004B664F"/>
    <w:rsid w:val="004C16C9"/>
    <w:rsid w:val="004C1961"/>
    <w:rsid w:val="004C1A82"/>
    <w:rsid w:val="004C1AB7"/>
    <w:rsid w:val="004C1B70"/>
    <w:rsid w:val="004C3D4B"/>
    <w:rsid w:val="004C5DBC"/>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0618C"/>
    <w:rsid w:val="00514D19"/>
    <w:rsid w:val="00516FD5"/>
    <w:rsid w:val="005173DA"/>
    <w:rsid w:val="00520C33"/>
    <w:rsid w:val="00523C06"/>
    <w:rsid w:val="00524E78"/>
    <w:rsid w:val="00525CC6"/>
    <w:rsid w:val="00527BF5"/>
    <w:rsid w:val="00532B9C"/>
    <w:rsid w:val="005332DD"/>
    <w:rsid w:val="00533883"/>
    <w:rsid w:val="00534135"/>
    <w:rsid w:val="005400CD"/>
    <w:rsid w:val="00541DC6"/>
    <w:rsid w:val="00546A9B"/>
    <w:rsid w:val="005477D0"/>
    <w:rsid w:val="00547A73"/>
    <w:rsid w:val="00550577"/>
    <w:rsid w:val="00550622"/>
    <w:rsid w:val="00550E34"/>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18B8"/>
    <w:rsid w:val="00587918"/>
    <w:rsid w:val="005879FB"/>
    <w:rsid w:val="005904F3"/>
    <w:rsid w:val="00591118"/>
    <w:rsid w:val="00592174"/>
    <w:rsid w:val="005967E7"/>
    <w:rsid w:val="0059706B"/>
    <w:rsid w:val="0059738E"/>
    <w:rsid w:val="005A1A79"/>
    <w:rsid w:val="005A42BD"/>
    <w:rsid w:val="005A6846"/>
    <w:rsid w:val="005A6ABD"/>
    <w:rsid w:val="005A791C"/>
    <w:rsid w:val="005B372B"/>
    <w:rsid w:val="005B634F"/>
    <w:rsid w:val="005B69F8"/>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2C7F"/>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4E0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1347"/>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30EA"/>
    <w:rsid w:val="006A54E3"/>
    <w:rsid w:val="006A55D7"/>
    <w:rsid w:val="006A7AD1"/>
    <w:rsid w:val="006B20CA"/>
    <w:rsid w:val="006B440B"/>
    <w:rsid w:val="006B5189"/>
    <w:rsid w:val="006C09DE"/>
    <w:rsid w:val="006C1055"/>
    <w:rsid w:val="006C3E9D"/>
    <w:rsid w:val="006C44B9"/>
    <w:rsid w:val="006C4FA4"/>
    <w:rsid w:val="006C51D6"/>
    <w:rsid w:val="006C6552"/>
    <w:rsid w:val="006C67DC"/>
    <w:rsid w:val="006C7D91"/>
    <w:rsid w:val="006C7FED"/>
    <w:rsid w:val="006D0C85"/>
    <w:rsid w:val="006D2ED9"/>
    <w:rsid w:val="006D321C"/>
    <w:rsid w:val="006D4052"/>
    <w:rsid w:val="006D425B"/>
    <w:rsid w:val="006D6F56"/>
    <w:rsid w:val="006D7D80"/>
    <w:rsid w:val="006E17AC"/>
    <w:rsid w:val="006E24C6"/>
    <w:rsid w:val="006E32F6"/>
    <w:rsid w:val="006E60D8"/>
    <w:rsid w:val="006E60E5"/>
    <w:rsid w:val="006F0B83"/>
    <w:rsid w:val="00701836"/>
    <w:rsid w:val="00701987"/>
    <w:rsid w:val="00701F70"/>
    <w:rsid w:val="00702650"/>
    <w:rsid w:val="007062E3"/>
    <w:rsid w:val="00706936"/>
    <w:rsid w:val="0070769C"/>
    <w:rsid w:val="00710E06"/>
    <w:rsid w:val="00715914"/>
    <w:rsid w:val="00716785"/>
    <w:rsid w:val="00716CC2"/>
    <w:rsid w:val="0071731D"/>
    <w:rsid w:val="0071759D"/>
    <w:rsid w:val="0072079B"/>
    <w:rsid w:val="00720B87"/>
    <w:rsid w:val="00722184"/>
    <w:rsid w:val="007229D7"/>
    <w:rsid w:val="0072401B"/>
    <w:rsid w:val="00724474"/>
    <w:rsid w:val="007269A0"/>
    <w:rsid w:val="00730268"/>
    <w:rsid w:val="00730EDD"/>
    <w:rsid w:val="00734C7C"/>
    <w:rsid w:val="0073535F"/>
    <w:rsid w:val="00736FD6"/>
    <w:rsid w:val="0073714D"/>
    <w:rsid w:val="00737F17"/>
    <w:rsid w:val="00741943"/>
    <w:rsid w:val="0074264B"/>
    <w:rsid w:val="0074415C"/>
    <w:rsid w:val="007460CD"/>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22E"/>
    <w:rsid w:val="0077147D"/>
    <w:rsid w:val="00775C64"/>
    <w:rsid w:val="007814A1"/>
    <w:rsid w:val="00786C6C"/>
    <w:rsid w:val="00790072"/>
    <w:rsid w:val="00791FB2"/>
    <w:rsid w:val="00792569"/>
    <w:rsid w:val="007936E5"/>
    <w:rsid w:val="00793A96"/>
    <w:rsid w:val="007A195C"/>
    <w:rsid w:val="007A29C5"/>
    <w:rsid w:val="007A56A8"/>
    <w:rsid w:val="007A7781"/>
    <w:rsid w:val="007B0083"/>
    <w:rsid w:val="007B0185"/>
    <w:rsid w:val="007B0A56"/>
    <w:rsid w:val="007B4B9B"/>
    <w:rsid w:val="007B7493"/>
    <w:rsid w:val="007B78A4"/>
    <w:rsid w:val="007C425D"/>
    <w:rsid w:val="007C431E"/>
    <w:rsid w:val="007C6352"/>
    <w:rsid w:val="007C7E77"/>
    <w:rsid w:val="007D3CF3"/>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65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591D"/>
    <w:rsid w:val="0081603E"/>
    <w:rsid w:val="00816EB3"/>
    <w:rsid w:val="008200CB"/>
    <w:rsid w:val="00820172"/>
    <w:rsid w:val="008244D7"/>
    <w:rsid w:val="008251D4"/>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5EC"/>
    <w:rsid w:val="00851EA5"/>
    <w:rsid w:val="00852591"/>
    <w:rsid w:val="008538DB"/>
    <w:rsid w:val="00856761"/>
    <w:rsid w:val="00857347"/>
    <w:rsid w:val="008573D5"/>
    <w:rsid w:val="008625BD"/>
    <w:rsid w:val="008640E5"/>
    <w:rsid w:val="00865499"/>
    <w:rsid w:val="008670AA"/>
    <w:rsid w:val="0086721C"/>
    <w:rsid w:val="00870E00"/>
    <w:rsid w:val="00871C11"/>
    <w:rsid w:val="008777D3"/>
    <w:rsid w:val="008810B3"/>
    <w:rsid w:val="00883B03"/>
    <w:rsid w:val="008841D5"/>
    <w:rsid w:val="0088505F"/>
    <w:rsid w:val="0088519A"/>
    <w:rsid w:val="00885368"/>
    <w:rsid w:val="00890C8F"/>
    <w:rsid w:val="00891F22"/>
    <w:rsid w:val="00892244"/>
    <w:rsid w:val="00894D12"/>
    <w:rsid w:val="00894E26"/>
    <w:rsid w:val="00895D2A"/>
    <w:rsid w:val="00896C4C"/>
    <w:rsid w:val="008A1923"/>
    <w:rsid w:val="008A20CD"/>
    <w:rsid w:val="008A26D8"/>
    <w:rsid w:val="008A37CD"/>
    <w:rsid w:val="008A5B8F"/>
    <w:rsid w:val="008A5EC4"/>
    <w:rsid w:val="008A6BDF"/>
    <w:rsid w:val="008A716B"/>
    <w:rsid w:val="008B5B4F"/>
    <w:rsid w:val="008B7538"/>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1B8A"/>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7EF"/>
    <w:rsid w:val="00986BB9"/>
    <w:rsid w:val="0098796E"/>
    <w:rsid w:val="0099115A"/>
    <w:rsid w:val="00992FA0"/>
    <w:rsid w:val="0099449B"/>
    <w:rsid w:val="009947DB"/>
    <w:rsid w:val="00994E48"/>
    <w:rsid w:val="0099601C"/>
    <w:rsid w:val="00997702"/>
    <w:rsid w:val="009A21C5"/>
    <w:rsid w:val="009A2D1C"/>
    <w:rsid w:val="009A428D"/>
    <w:rsid w:val="009A453D"/>
    <w:rsid w:val="009A4EE0"/>
    <w:rsid w:val="009A5C43"/>
    <w:rsid w:val="009A656B"/>
    <w:rsid w:val="009A73A9"/>
    <w:rsid w:val="009A7DE1"/>
    <w:rsid w:val="009B1383"/>
    <w:rsid w:val="009B75D1"/>
    <w:rsid w:val="009C1EA0"/>
    <w:rsid w:val="009C3A17"/>
    <w:rsid w:val="009C47DE"/>
    <w:rsid w:val="009C4D38"/>
    <w:rsid w:val="009C501E"/>
    <w:rsid w:val="009C50FC"/>
    <w:rsid w:val="009D0479"/>
    <w:rsid w:val="009D0924"/>
    <w:rsid w:val="009D2AA6"/>
    <w:rsid w:val="009D34D2"/>
    <w:rsid w:val="009D55DE"/>
    <w:rsid w:val="009D56B4"/>
    <w:rsid w:val="009E1ADE"/>
    <w:rsid w:val="009E2755"/>
    <w:rsid w:val="009E3B82"/>
    <w:rsid w:val="009E43C3"/>
    <w:rsid w:val="009E50FD"/>
    <w:rsid w:val="009E5D13"/>
    <w:rsid w:val="009E5FB2"/>
    <w:rsid w:val="009E61C0"/>
    <w:rsid w:val="009E7648"/>
    <w:rsid w:val="009F017C"/>
    <w:rsid w:val="009F1081"/>
    <w:rsid w:val="009F245B"/>
    <w:rsid w:val="009F3C30"/>
    <w:rsid w:val="009F65E9"/>
    <w:rsid w:val="009F6F14"/>
    <w:rsid w:val="009F70DB"/>
    <w:rsid w:val="00A00529"/>
    <w:rsid w:val="00A01504"/>
    <w:rsid w:val="00A01773"/>
    <w:rsid w:val="00A06558"/>
    <w:rsid w:val="00A06614"/>
    <w:rsid w:val="00A0689F"/>
    <w:rsid w:val="00A077D6"/>
    <w:rsid w:val="00A10B4B"/>
    <w:rsid w:val="00A12039"/>
    <w:rsid w:val="00A12700"/>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5FF4"/>
    <w:rsid w:val="00A67762"/>
    <w:rsid w:val="00A70E95"/>
    <w:rsid w:val="00A71C5A"/>
    <w:rsid w:val="00A7295D"/>
    <w:rsid w:val="00A753C9"/>
    <w:rsid w:val="00A75FF2"/>
    <w:rsid w:val="00A80581"/>
    <w:rsid w:val="00A808AC"/>
    <w:rsid w:val="00A82ADF"/>
    <w:rsid w:val="00A84F67"/>
    <w:rsid w:val="00A85322"/>
    <w:rsid w:val="00A8598D"/>
    <w:rsid w:val="00A861F6"/>
    <w:rsid w:val="00A902DE"/>
    <w:rsid w:val="00A90D3D"/>
    <w:rsid w:val="00A9156B"/>
    <w:rsid w:val="00A91FB2"/>
    <w:rsid w:val="00A95E52"/>
    <w:rsid w:val="00A96386"/>
    <w:rsid w:val="00A96AAA"/>
    <w:rsid w:val="00A96DC0"/>
    <w:rsid w:val="00A973BA"/>
    <w:rsid w:val="00AA0E8D"/>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C4C9A"/>
    <w:rsid w:val="00AD1980"/>
    <w:rsid w:val="00AD25E9"/>
    <w:rsid w:val="00AD323F"/>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0FED"/>
    <w:rsid w:val="00B0158D"/>
    <w:rsid w:val="00B04A30"/>
    <w:rsid w:val="00B062AD"/>
    <w:rsid w:val="00B06C8B"/>
    <w:rsid w:val="00B075B0"/>
    <w:rsid w:val="00B110B4"/>
    <w:rsid w:val="00B17F7E"/>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510"/>
    <w:rsid w:val="00B65A10"/>
    <w:rsid w:val="00B66F4D"/>
    <w:rsid w:val="00B74786"/>
    <w:rsid w:val="00B757FD"/>
    <w:rsid w:val="00B770CF"/>
    <w:rsid w:val="00B80F65"/>
    <w:rsid w:val="00B81556"/>
    <w:rsid w:val="00B82878"/>
    <w:rsid w:val="00B832AE"/>
    <w:rsid w:val="00B83B50"/>
    <w:rsid w:val="00B85C83"/>
    <w:rsid w:val="00B8691D"/>
    <w:rsid w:val="00B8797E"/>
    <w:rsid w:val="00B900B3"/>
    <w:rsid w:val="00B90965"/>
    <w:rsid w:val="00B92E82"/>
    <w:rsid w:val="00B93009"/>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D6050"/>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41D4"/>
    <w:rsid w:val="00C0532A"/>
    <w:rsid w:val="00C05F9F"/>
    <w:rsid w:val="00C06CF0"/>
    <w:rsid w:val="00C07AB8"/>
    <w:rsid w:val="00C07D01"/>
    <w:rsid w:val="00C11FEA"/>
    <w:rsid w:val="00C124C6"/>
    <w:rsid w:val="00C1340D"/>
    <w:rsid w:val="00C13BD1"/>
    <w:rsid w:val="00C14AF9"/>
    <w:rsid w:val="00C152AD"/>
    <w:rsid w:val="00C17354"/>
    <w:rsid w:val="00C21EB7"/>
    <w:rsid w:val="00C221B1"/>
    <w:rsid w:val="00C2325B"/>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376E"/>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97163"/>
    <w:rsid w:val="00CA4094"/>
    <w:rsid w:val="00CA464D"/>
    <w:rsid w:val="00CA538C"/>
    <w:rsid w:val="00CA54B4"/>
    <w:rsid w:val="00CA70EC"/>
    <w:rsid w:val="00CB275A"/>
    <w:rsid w:val="00CB2FA0"/>
    <w:rsid w:val="00CB4B65"/>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36A0"/>
    <w:rsid w:val="00CE3B16"/>
    <w:rsid w:val="00CE4940"/>
    <w:rsid w:val="00CE57B5"/>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539"/>
    <w:rsid w:val="00D1289B"/>
    <w:rsid w:val="00D12A40"/>
    <w:rsid w:val="00D12CA8"/>
    <w:rsid w:val="00D13C95"/>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5374"/>
    <w:rsid w:val="00D4756A"/>
    <w:rsid w:val="00D525A8"/>
    <w:rsid w:val="00D52ACF"/>
    <w:rsid w:val="00D53787"/>
    <w:rsid w:val="00D539AF"/>
    <w:rsid w:val="00D5468C"/>
    <w:rsid w:val="00D558C8"/>
    <w:rsid w:val="00D56DA9"/>
    <w:rsid w:val="00D624EC"/>
    <w:rsid w:val="00D625D4"/>
    <w:rsid w:val="00D63DB6"/>
    <w:rsid w:val="00D64261"/>
    <w:rsid w:val="00D6520A"/>
    <w:rsid w:val="00D66692"/>
    <w:rsid w:val="00D6734B"/>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4E9"/>
    <w:rsid w:val="00DC7F92"/>
    <w:rsid w:val="00DD10A4"/>
    <w:rsid w:val="00DD268D"/>
    <w:rsid w:val="00DD33B8"/>
    <w:rsid w:val="00DD3E4C"/>
    <w:rsid w:val="00DD502C"/>
    <w:rsid w:val="00DD5FC4"/>
    <w:rsid w:val="00DD7120"/>
    <w:rsid w:val="00DD7C63"/>
    <w:rsid w:val="00DE0C52"/>
    <w:rsid w:val="00DE12AA"/>
    <w:rsid w:val="00DE5A20"/>
    <w:rsid w:val="00DE691C"/>
    <w:rsid w:val="00DF0811"/>
    <w:rsid w:val="00DF0FE2"/>
    <w:rsid w:val="00DF4E90"/>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1719"/>
    <w:rsid w:val="00E32DAA"/>
    <w:rsid w:val="00E33D63"/>
    <w:rsid w:val="00E36E4C"/>
    <w:rsid w:val="00E37611"/>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65743"/>
    <w:rsid w:val="00E71C76"/>
    <w:rsid w:val="00E723A2"/>
    <w:rsid w:val="00E73C28"/>
    <w:rsid w:val="00E74DF7"/>
    <w:rsid w:val="00E75A3D"/>
    <w:rsid w:val="00E762C6"/>
    <w:rsid w:val="00E7766F"/>
    <w:rsid w:val="00E77ABB"/>
    <w:rsid w:val="00E824DD"/>
    <w:rsid w:val="00E82EA8"/>
    <w:rsid w:val="00E83912"/>
    <w:rsid w:val="00E860C1"/>
    <w:rsid w:val="00E86AAD"/>
    <w:rsid w:val="00E87A1F"/>
    <w:rsid w:val="00E903DB"/>
    <w:rsid w:val="00E90EAE"/>
    <w:rsid w:val="00E9196B"/>
    <w:rsid w:val="00E92812"/>
    <w:rsid w:val="00E943BD"/>
    <w:rsid w:val="00E954F5"/>
    <w:rsid w:val="00E96C56"/>
    <w:rsid w:val="00EA186E"/>
    <w:rsid w:val="00EA4A0A"/>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5E55"/>
    <w:rsid w:val="00ED7F7F"/>
    <w:rsid w:val="00EE0626"/>
    <w:rsid w:val="00EE120F"/>
    <w:rsid w:val="00EF0C73"/>
    <w:rsid w:val="00EF217E"/>
    <w:rsid w:val="00EF36CB"/>
    <w:rsid w:val="00EF5129"/>
    <w:rsid w:val="00EF56B2"/>
    <w:rsid w:val="00EF5F2E"/>
    <w:rsid w:val="00EF6195"/>
    <w:rsid w:val="00EF74DC"/>
    <w:rsid w:val="00F010A9"/>
    <w:rsid w:val="00F0347B"/>
    <w:rsid w:val="00F119E2"/>
    <w:rsid w:val="00F11AA2"/>
    <w:rsid w:val="00F13393"/>
    <w:rsid w:val="00F144F4"/>
    <w:rsid w:val="00F156AC"/>
    <w:rsid w:val="00F21CAD"/>
    <w:rsid w:val="00F228FA"/>
    <w:rsid w:val="00F22B53"/>
    <w:rsid w:val="00F2371D"/>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0E57"/>
    <w:rsid w:val="00F5715D"/>
    <w:rsid w:val="00F57252"/>
    <w:rsid w:val="00F57454"/>
    <w:rsid w:val="00F574CA"/>
    <w:rsid w:val="00F57A80"/>
    <w:rsid w:val="00F57D61"/>
    <w:rsid w:val="00F61B11"/>
    <w:rsid w:val="00F63D61"/>
    <w:rsid w:val="00F653FE"/>
    <w:rsid w:val="00F65579"/>
    <w:rsid w:val="00F71AC7"/>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1C61"/>
    <w:rsid w:val="00FB2FF5"/>
    <w:rsid w:val="00FB3E9E"/>
    <w:rsid w:val="00FB4000"/>
    <w:rsid w:val="00FB52C1"/>
    <w:rsid w:val="00FB5756"/>
    <w:rsid w:val="00FB6CBF"/>
    <w:rsid w:val="00FB6FA7"/>
    <w:rsid w:val="00FC1608"/>
    <w:rsid w:val="00FC2BEC"/>
    <w:rsid w:val="00FC2C5F"/>
    <w:rsid w:val="00FC3FE6"/>
    <w:rsid w:val="00FC5786"/>
    <w:rsid w:val="00FC5DA4"/>
    <w:rsid w:val="00FC7178"/>
    <w:rsid w:val="00FC7BC3"/>
    <w:rsid w:val="00FD02E6"/>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3673A02-52DC-4212-9617-BE77C44A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36"/>
    <w:pPr>
      <w:spacing w:after="160" w:line="259" w:lineRule="auto"/>
    </w:pPr>
    <w:rPr>
      <w:rFonts w:asciiTheme="minorHAnsi" w:eastAsiaTheme="minorEastAsia" w:hAnsiTheme="minorHAnsi"/>
      <w:kern w:val="0"/>
      <w:sz w:val="22"/>
      <w:szCs w:val="22"/>
      <w:lang w:eastAsia="en-US"/>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9D2AA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9D2AA6"/>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9D2AA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9D2AA6"/>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9D2AA6"/>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9D2AA6"/>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9D2AA6"/>
    <w:pPr>
      <w:spacing w:before="240"/>
      <w:ind w:left="113" w:firstLine="0"/>
    </w:pPr>
  </w:style>
  <w:style w:type="paragraph" w:customStyle="1" w:styleId="Mdeck3publcationhistory">
    <w:name w:val="M_deck_3_publcation_history"/>
    <w:next w:val="Normal"/>
    <w:qFormat/>
    <w:rsid w:val="009D2AA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9D2AA6"/>
    <w:pPr>
      <w:spacing w:line="340" w:lineRule="atLeast"/>
      <w:outlineLvl w:val="0"/>
    </w:pPr>
    <w:rPr>
      <w:b/>
      <w:snapToGrid/>
    </w:rPr>
  </w:style>
  <w:style w:type="paragraph" w:customStyle="1" w:styleId="Mdeck4heading2">
    <w:name w:val="M_deck_4_heading_2"/>
    <w:basedOn w:val="MHeading3"/>
    <w:next w:val="Normal"/>
    <w:qFormat/>
    <w:rsid w:val="009D2AA6"/>
    <w:pPr>
      <w:outlineLvl w:val="1"/>
    </w:pPr>
    <w:rPr>
      <w:i/>
      <w:snapToGrid/>
    </w:rPr>
  </w:style>
  <w:style w:type="paragraph" w:customStyle="1" w:styleId="Mdeck4heading3">
    <w:name w:val="M_deck_4_heading_3"/>
    <w:basedOn w:val="Mdeck4text"/>
    <w:next w:val="Normal"/>
    <w:qFormat/>
    <w:rsid w:val="009D2AA6"/>
    <w:pPr>
      <w:spacing w:before="240" w:after="120" w:line="340" w:lineRule="atLeast"/>
      <w:ind w:firstLineChars="50" w:firstLine="50"/>
      <w:outlineLvl w:val="2"/>
    </w:pPr>
    <w:rPr>
      <w:snapToGrid/>
    </w:rPr>
  </w:style>
  <w:style w:type="paragraph" w:customStyle="1" w:styleId="Mdeck4text">
    <w:name w:val="M_deck_4_text"/>
    <w:link w:val="Mdeck4textZchn"/>
    <w:qFormat/>
    <w:rsid w:val="009D2AA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9D2AA6"/>
    <w:pPr>
      <w:numPr>
        <w:numId w:val="46"/>
      </w:numPr>
      <w:spacing w:before="120" w:after="120" w:line="340" w:lineRule="atLeast"/>
    </w:pPr>
    <w:rPr>
      <w:snapToGrid/>
    </w:rPr>
  </w:style>
  <w:style w:type="paragraph" w:customStyle="1" w:styleId="Mdeck4textfirstlinezero">
    <w:name w:val="M_deck_4_text_firstline_zero"/>
    <w:basedOn w:val="Mdeck4text"/>
    <w:next w:val="Mdeck4text"/>
    <w:qFormat/>
    <w:rsid w:val="009D2AA6"/>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9D2AA6"/>
    <w:rPr>
      <w:i/>
    </w:rPr>
  </w:style>
  <w:style w:type="paragraph" w:customStyle="1" w:styleId="Mdeck4textlrindent">
    <w:name w:val="M_deck_4_text_lr_indent"/>
    <w:basedOn w:val="Mdeck4text"/>
    <w:qFormat/>
    <w:rsid w:val="009D2AA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9D2AA6"/>
    <w:pPr>
      <w:numPr>
        <w:numId w:val="47"/>
      </w:numPr>
      <w:spacing w:before="120" w:after="120" w:line="340" w:lineRule="atLeast"/>
    </w:pPr>
    <w:rPr>
      <w:snapToGrid/>
    </w:rPr>
  </w:style>
  <w:style w:type="paragraph" w:customStyle="1" w:styleId="Mdeck5tablebody">
    <w:name w:val="M_deck_5_table_body"/>
    <w:qFormat/>
    <w:rsid w:val="009D2AA6"/>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9D2AA6"/>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9D2AA6"/>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9D2AA6"/>
    <w:pPr>
      <w:spacing w:line="300" w:lineRule="exact"/>
    </w:pPr>
  </w:style>
  <w:style w:type="paragraph" w:customStyle="1" w:styleId="Mdeck5tableheader">
    <w:name w:val="M_deck_5_table_header"/>
    <w:basedOn w:val="Mdeck5tablefooter"/>
    <w:rsid w:val="009D2AA6"/>
  </w:style>
  <w:style w:type="paragraph" w:customStyle="1" w:styleId="Mdeck6figurebody">
    <w:name w:val="M_deck_6_figure_body"/>
    <w:qFormat/>
    <w:rsid w:val="009D2AA6"/>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9D2AA6"/>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9D2AA6"/>
    <w:pPr>
      <w:spacing w:before="120" w:after="120"/>
      <w:ind w:left="709" w:firstLine="0"/>
      <w:jc w:val="center"/>
    </w:pPr>
    <w:rPr>
      <w:i/>
      <w:snapToGrid/>
      <w:szCs w:val="24"/>
      <w:lang w:eastAsia="en-US"/>
    </w:rPr>
  </w:style>
  <w:style w:type="paragraph" w:customStyle="1" w:styleId="Mdeck8references">
    <w:name w:val="M_deck_8_references"/>
    <w:qFormat/>
    <w:rsid w:val="009D2AA6"/>
    <w:pPr>
      <w:numPr>
        <w:numId w:val="4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unhideWhenUsed/>
    <w:rsid w:val="00F87A76"/>
    <w:pPr>
      <w:tabs>
        <w:tab w:val="left" w:pos="504"/>
      </w:tabs>
      <w:spacing w:after="0" w:line="240" w:lineRule="auto"/>
      <w:ind w:left="504" w:hanging="504"/>
    </w:pPr>
  </w:style>
  <w:style w:type="paragraph" w:styleId="Caption">
    <w:name w:val="caption"/>
    <w:basedOn w:val="Normal"/>
    <w:next w:val="Normal"/>
    <w:qFormat/>
    <w:rsid w:val="00F87A76"/>
    <w:pPr>
      <w:ind w:left="850" w:hanging="850"/>
      <w:jc w:val="center"/>
    </w:pPr>
    <w:rPr>
      <w:b/>
      <w:bCs/>
      <w:szCs w:val="24"/>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3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9D2AA6"/>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customStyle="1" w:styleId="TableText">
    <w:name w:val="Table Text"/>
    <w:rsid w:val="003E6536"/>
    <w:pPr>
      <w:spacing w:line="180" w:lineRule="atLeast"/>
      <w:jc w:val="center"/>
    </w:pPr>
    <w:rPr>
      <w:rFonts w:eastAsia="Calisto MT" w:cs="TimesLTStd-Roman"/>
      <w:color w:val="000000"/>
      <w:kern w:val="0"/>
      <w:sz w:val="16"/>
      <w:szCs w:val="16"/>
      <w:lang w:eastAsia="en-US"/>
    </w:rPr>
  </w:style>
  <w:style w:type="character" w:customStyle="1" w:styleId="MTEquationSection">
    <w:name w:val="MTEquationSection"/>
    <w:basedOn w:val="DefaultParagraphFont"/>
    <w:rsid w:val="007B78A4"/>
    <w:rPr>
      <w:vanish/>
      <w:color w:val="FF0000"/>
    </w:rPr>
  </w:style>
  <w:style w:type="paragraph" w:customStyle="1" w:styleId="MTDisplayEquation">
    <w:name w:val="MTDisplayEquation"/>
    <w:basedOn w:val="Mdeck4text"/>
    <w:next w:val="Normal"/>
    <w:link w:val="MTDisplayEquationZchn"/>
    <w:rsid w:val="007B78A4"/>
    <w:pPr>
      <w:tabs>
        <w:tab w:val="center" w:pos="4420"/>
        <w:tab w:val="right" w:pos="8840"/>
      </w:tabs>
    </w:pPr>
    <w:rPr>
      <w:rFonts w:ascii="Palatino Linotype" w:hAnsi="Palatino Linotype" w:cs="Times New Roman"/>
      <w:szCs w:val="22"/>
    </w:rPr>
  </w:style>
  <w:style w:type="character" w:customStyle="1" w:styleId="Mdeck4textZchn">
    <w:name w:val="M_deck_4_text Zchn"/>
    <w:basedOn w:val="DefaultParagraphFont"/>
    <w:link w:val="Mdeck4text"/>
    <w:rsid w:val="007B78A4"/>
    <w:rPr>
      <w:rFonts w:ascii="Minion Pro" w:eastAsia="Times New Roman" w:hAnsi="Minion Pro"/>
      <w:snapToGrid w:val="0"/>
      <w:color w:val="000000"/>
      <w:kern w:val="0"/>
      <w:sz w:val="24"/>
      <w:lang w:eastAsia="de-DE" w:bidi="en-US"/>
    </w:rPr>
  </w:style>
  <w:style w:type="character" w:customStyle="1" w:styleId="MTDisplayEquationZchn">
    <w:name w:val="MTDisplayEquation Zchn"/>
    <w:basedOn w:val="Mdeck4textZchn"/>
    <w:link w:val="MTDisplayEquation"/>
    <w:rsid w:val="007B78A4"/>
    <w:rPr>
      <w:rFonts w:ascii="Palatino Linotype" w:eastAsia="Times New Roman" w:hAnsi="Palatino Linotype" w:cs="Times New Roman"/>
      <w:snapToGrid w:val="0"/>
      <w:color w:val="000000"/>
      <w:kern w:val="0"/>
      <w:sz w:val="24"/>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71216">
      <w:bodyDiv w:val="1"/>
      <w:marLeft w:val="0"/>
      <w:marRight w:val="0"/>
      <w:marTop w:val="0"/>
      <w:marBottom w:val="0"/>
      <w:divBdr>
        <w:top w:val="none" w:sz="0" w:space="0" w:color="auto"/>
        <w:left w:val="none" w:sz="0" w:space="0" w:color="auto"/>
        <w:bottom w:val="none" w:sz="0" w:space="0" w:color="auto"/>
        <w:right w:val="none" w:sz="0" w:space="0" w:color="auto"/>
      </w:divBdr>
    </w:div>
    <w:div w:id="730425895">
      <w:bodyDiv w:val="1"/>
      <w:marLeft w:val="0"/>
      <w:marRight w:val="0"/>
      <w:marTop w:val="0"/>
      <w:marBottom w:val="0"/>
      <w:divBdr>
        <w:top w:val="none" w:sz="0" w:space="0" w:color="auto"/>
        <w:left w:val="none" w:sz="0" w:space="0" w:color="auto"/>
        <w:bottom w:val="none" w:sz="0" w:space="0" w:color="auto"/>
        <w:right w:val="none" w:sz="0" w:space="0" w:color="auto"/>
      </w:divBdr>
    </w:div>
    <w:div w:id="15433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0.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89wey\Downloads\games-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47E5-D4F1-4B87-BFCF-18982E3A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games-template</Template>
  <TotalTime>0</TotalTime>
  <Pages>11</Pages>
  <Words>11911</Words>
  <Characters>67897</Characters>
  <Application>Microsoft Office Word</Application>
  <DocSecurity>4</DocSecurity>
  <Lines>565</Lines>
  <Paragraphs>159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Lang, Hannes</dc:creator>
  <cp:keywords/>
  <dc:description/>
  <cp:lastModifiedBy>Greg</cp:lastModifiedBy>
  <cp:revision>2</cp:revision>
  <cp:lastPrinted>2018-02-20T13:03:00Z</cp:lastPrinted>
  <dcterms:created xsi:type="dcterms:W3CDTF">2018-04-11T13:03:00Z</dcterms:created>
  <dcterms:modified xsi:type="dcterms:W3CDTF">2018-04-11T13:03:00Z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id="1hfMZgI2"/&gt;&lt;style id="http://www.zotero.org/styles/multidisciplinary-digital-publishing-institute" hasBibliography="1" bibliographyStyleHasBeenSet="1"/&gt;&lt;prefs&gt;&lt;pref name="fieldType" value="Fiel</vt:lpwstr>
  </property>
  <property fmtid="{D5CDD505-2E9C-101B-9397-08002B2CF9AE}" pid="3" name="ZOTERO_PREF_2">
    <vt:lpwstr>d"/&gt;&lt;pref name="automaticJournalAbbreviations" value="true"/&gt;&lt;pref name="noteType" value="0"/&gt;&lt;/prefs&gt;&lt;/data&gt;</vt:lpwstr>
  </property>
  <property fmtid="{D5CDD505-2E9C-101B-9397-08002B2CF9AE}" pid="4" name="MTEquationNumber2">
    <vt:lpwstr>(#S1.#E1)</vt:lpwstr>
  </property>
  <property fmtid="{D5CDD505-2E9C-101B-9397-08002B2CF9AE}" pid="5" name="MTEquationSection">
    <vt:lpwstr>1</vt:lpwstr>
  </property>
  <property fmtid="{D5CDD505-2E9C-101B-9397-08002B2CF9AE}" pid="6" name="MTWinEqns">
    <vt:bool>true</vt:bool>
  </property>
</Properties>
</file>